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1F" w:rsidRPr="00576666" w:rsidRDefault="00192A4C">
      <w:pPr>
        <w:rPr>
          <w:rFonts w:ascii="Times New Roman" w:hAnsi="Times New Roman" w:cs="Times New Roman"/>
          <w:b/>
          <w:sz w:val="32"/>
          <w:szCs w:val="32"/>
          <w:lang w:val="sr-Cyrl-RS"/>
        </w:rPr>
      </w:pPr>
      <w:r w:rsidRPr="00576666">
        <w:rPr>
          <w:rFonts w:ascii="Times New Roman" w:hAnsi="Times New Roman" w:cs="Times New Roman"/>
          <w:b/>
          <w:sz w:val="32"/>
          <w:szCs w:val="32"/>
          <w:lang w:val="sr-Cyrl-RS"/>
        </w:rPr>
        <w:t>Толеранције дужинских мера</w:t>
      </w:r>
    </w:p>
    <w:p w:rsidR="00576666" w:rsidRPr="00DE2269" w:rsidRDefault="00576666" w:rsidP="00823D1D">
      <w:pPr>
        <w:jc w:val="both"/>
        <w:rPr>
          <w:rFonts w:ascii="Times New Roman" w:hAnsi="Times New Roman" w:cs="Times New Roman"/>
          <w:lang w:val="sr-Cyrl-RS"/>
        </w:rPr>
      </w:pPr>
      <w:r w:rsidRPr="00DE2269">
        <w:rPr>
          <w:rFonts w:ascii="Times New Roman" w:hAnsi="Times New Roman" w:cs="Times New Roman"/>
          <w:lang w:val="sr-Cyrl-RS"/>
        </w:rPr>
        <w:t xml:space="preserve">У машинству, под појмом дужинске мере подразумева се свака мера која се изражава једиицом дужине тј метром.У машинству јединица за дужину метар није прикладна и због тога се користи милиметар као хиљадити део метра и микрометар хиљадити део милиметра. </w:t>
      </w:r>
    </w:p>
    <w:p w:rsidR="00576666" w:rsidRPr="00DE2269" w:rsidRDefault="00576666" w:rsidP="00823D1D">
      <w:pPr>
        <w:jc w:val="both"/>
        <w:rPr>
          <w:rFonts w:ascii="Times New Roman" w:hAnsi="Times New Roman" w:cs="Times New Roman"/>
          <w:b/>
          <w:lang w:val="sr-Cyrl-RS"/>
        </w:rPr>
      </w:pPr>
      <w:r w:rsidRPr="00DE2269">
        <w:rPr>
          <w:rFonts w:ascii="Times New Roman" w:hAnsi="Times New Roman" w:cs="Times New Roman"/>
          <w:b/>
          <w:lang w:val="sr-Cyrl-RS"/>
        </w:rPr>
        <w:t>Толеранције</w:t>
      </w:r>
      <w:r w:rsidR="00980505">
        <w:rPr>
          <w:rFonts w:ascii="Times New Roman" w:hAnsi="Times New Roman" w:cs="Times New Roman"/>
          <w:b/>
          <w:lang w:val="sr-Cyrl-RS"/>
        </w:rPr>
        <w:t xml:space="preserve"> дужинских мера подразумевају</w:t>
      </w:r>
      <w:r w:rsidRPr="00DE2269">
        <w:rPr>
          <w:rFonts w:ascii="Times New Roman" w:hAnsi="Times New Roman" w:cs="Times New Roman"/>
          <w:b/>
          <w:lang w:val="sr-Cyrl-RS"/>
        </w:rPr>
        <w:t xml:space="preserve"> дозвољена одступања од задатих називних мера.</w:t>
      </w:r>
    </w:p>
    <w:p w:rsidR="00576666" w:rsidRPr="00DE2269" w:rsidRDefault="00576666" w:rsidP="00823D1D">
      <w:pPr>
        <w:jc w:val="both"/>
        <w:rPr>
          <w:rFonts w:ascii="Times New Roman" w:hAnsi="Times New Roman" w:cs="Times New Roman"/>
          <w:b/>
        </w:rPr>
      </w:pPr>
      <w:r w:rsidRPr="00DE2269">
        <w:rPr>
          <w:rFonts w:ascii="Times New Roman" w:hAnsi="Times New Roman" w:cs="Times New Roman"/>
          <w:b/>
          <w:lang w:val="sr-Cyrl-RS"/>
        </w:rPr>
        <w:t>Мера која се уписује на цртежима за израду делова представља називну меру (</w:t>
      </w:r>
      <w:r w:rsidRPr="00DE2269">
        <w:rPr>
          <w:rFonts w:ascii="Times New Roman" w:hAnsi="Times New Roman" w:cs="Times New Roman"/>
          <w:b/>
        </w:rPr>
        <w:t>D,d).</w:t>
      </w:r>
    </w:p>
    <w:p w:rsidR="00576666" w:rsidRPr="00DE2269" w:rsidRDefault="00823D1D" w:rsidP="00823D1D">
      <w:pPr>
        <w:jc w:val="both"/>
        <w:rPr>
          <w:rFonts w:ascii="Times New Roman" w:hAnsi="Times New Roman" w:cs="Times New Roman"/>
          <w:b/>
        </w:rPr>
      </w:pPr>
      <w:r w:rsidRPr="00DE2269">
        <w:rPr>
          <w:rFonts w:ascii="Times New Roman" w:hAnsi="Times New Roman" w:cs="Times New Roman"/>
          <w:b/>
          <w:lang w:val="sr-Cyrl-RS"/>
        </w:rPr>
        <w:t>Мера која се постиже поступком обраде и утврђује мерењем назива се стварном мером (</w:t>
      </w:r>
      <w:r w:rsidRPr="00DE2269">
        <w:rPr>
          <w:rFonts w:ascii="Times New Roman" w:hAnsi="Times New Roman" w:cs="Times New Roman"/>
          <w:b/>
        </w:rPr>
        <w:t>Ds, ds).</w:t>
      </w:r>
    </w:p>
    <w:p w:rsidR="00823D1D" w:rsidRPr="00DE2269" w:rsidRDefault="00823D1D" w:rsidP="00823D1D">
      <w:pPr>
        <w:jc w:val="both"/>
        <w:rPr>
          <w:rFonts w:ascii="Times New Roman" w:hAnsi="Times New Roman" w:cs="Times New Roman"/>
          <w:b/>
          <w:lang w:val="sr-Cyrl-RS"/>
        </w:rPr>
      </w:pPr>
      <w:r w:rsidRPr="00DE2269">
        <w:rPr>
          <w:rFonts w:ascii="Times New Roman" w:hAnsi="Times New Roman" w:cs="Times New Roman"/>
          <w:b/>
          <w:lang w:val="sr-Cyrl-RS"/>
        </w:rPr>
        <w:t>Толерисане дужинске мере, осим називне мере, имају и две граничне мере.</w:t>
      </w:r>
    </w:p>
    <w:p w:rsidR="00823D1D" w:rsidRPr="00DE2269" w:rsidRDefault="00823D1D" w:rsidP="00823D1D">
      <w:pPr>
        <w:jc w:val="both"/>
        <w:rPr>
          <w:rFonts w:ascii="Times New Roman" w:hAnsi="Times New Roman" w:cs="Times New Roman"/>
          <w:b/>
          <w:lang w:val="sr-Cyrl-RS"/>
        </w:rPr>
      </w:pPr>
      <w:r w:rsidRPr="00DE2269">
        <w:rPr>
          <w:rFonts w:ascii="Times New Roman" w:hAnsi="Times New Roman" w:cs="Times New Roman"/>
          <w:b/>
          <w:lang w:val="sr-Cyrl-RS"/>
        </w:rPr>
        <w:t xml:space="preserve">Горња гранична мера </w:t>
      </w:r>
      <w:r w:rsidRPr="00DE2269">
        <w:rPr>
          <w:rFonts w:ascii="Times New Roman" w:hAnsi="Times New Roman" w:cs="Times New Roman"/>
          <w:b/>
        </w:rPr>
        <w:t xml:space="preserve">(Dg, dg) </w:t>
      </w:r>
      <w:r w:rsidRPr="00DE2269">
        <w:rPr>
          <w:rFonts w:ascii="Times New Roman" w:hAnsi="Times New Roman" w:cs="Times New Roman"/>
          <w:b/>
          <w:lang w:val="sr-Cyrl-RS"/>
        </w:rPr>
        <w:t xml:space="preserve">највећа је вредност коју </w:t>
      </w:r>
      <w:r w:rsidR="00980505">
        <w:rPr>
          <w:rFonts w:ascii="Times New Roman" w:hAnsi="Times New Roman" w:cs="Times New Roman"/>
          <w:b/>
          <w:lang w:val="sr-Cyrl-RS"/>
        </w:rPr>
        <w:t>сме имати стварна мера да би из</w:t>
      </w:r>
      <w:r w:rsidRPr="00DE2269">
        <w:rPr>
          <w:rFonts w:ascii="Times New Roman" w:hAnsi="Times New Roman" w:cs="Times New Roman"/>
          <w:b/>
          <w:lang w:val="sr-Cyrl-RS"/>
        </w:rPr>
        <w:t>рађени машински део задовољио намену.</w:t>
      </w:r>
    </w:p>
    <w:p w:rsidR="00823D1D" w:rsidRPr="00DE2269" w:rsidRDefault="00823D1D" w:rsidP="00823D1D">
      <w:pPr>
        <w:jc w:val="both"/>
        <w:rPr>
          <w:rFonts w:ascii="Times New Roman" w:hAnsi="Times New Roman" w:cs="Times New Roman"/>
          <w:b/>
          <w:lang w:val="sr-Cyrl-RS"/>
        </w:rPr>
      </w:pPr>
      <w:r w:rsidRPr="00DE2269">
        <w:rPr>
          <w:rFonts w:ascii="Times New Roman" w:hAnsi="Times New Roman" w:cs="Times New Roman"/>
          <w:b/>
          <w:lang w:val="sr-Cyrl-RS"/>
        </w:rPr>
        <w:t xml:space="preserve">Доња гранична мера </w:t>
      </w:r>
      <w:r w:rsidRPr="00DE2269">
        <w:rPr>
          <w:rFonts w:ascii="Times New Roman" w:hAnsi="Times New Roman" w:cs="Times New Roman"/>
          <w:b/>
        </w:rPr>
        <w:t xml:space="preserve">(Dd, dd) </w:t>
      </w:r>
      <w:r w:rsidRPr="00DE2269">
        <w:rPr>
          <w:rFonts w:ascii="Times New Roman" w:hAnsi="Times New Roman" w:cs="Times New Roman"/>
          <w:b/>
          <w:lang w:val="sr-Cyrl-RS"/>
        </w:rPr>
        <w:t>најмања је вредност коју сме</w:t>
      </w:r>
      <w:r w:rsidR="00980505">
        <w:rPr>
          <w:rFonts w:ascii="Times New Roman" w:hAnsi="Times New Roman" w:cs="Times New Roman"/>
          <w:b/>
          <w:lang w:val="sr-Cyrl-RS"/>
        </w:rPr>
        <w:t xml:space="preserve"> имати стварна мера да би из</w:t>
      </w:r>
      <w:r w:rsidRPr="00DE2269">
        <w:rPr>
          <w:rFonts w:ascii="Times New Roman" w:hAnsi="Times New Roman" w:cs="Times New Roman"/>
          <w:b/>
          <w:lang w:val="sr-Cyrl-RS"/>
        </w:rPr>
        <w:t>рађени машински део задовољио намену.</w:t>
      </w:r>
    </w:p>
    <w:p w:rsidR="00823D1D" w:rsidRPr="00DE2269" w:rsidRDefault="00823D1D" w:rsidP="00823D1D">
      <w:pPr>
        <w:jc w:val="both"/>
        <w:rPr>
          <w:rFonts w:ascii="Times New Roman" w:hAnsi="Times New Roman" w:cs="Times New Roman"/>
          <w:b/>
          <w:lang w:val="sr-Cyrl-RS"/>
        </w:rPr>
      </w:pPr>
      <w:r w:rsidRPr="00DE2269">
        <w:rPr>
          <w:rFonts w:ascii="Times New Roman" w:hAnsi="Times New Roman" w:cs="Times New Roman"/>
          <w:b/>
          <w:lang w:val="sr-Cyrl-RS"/>
        </w:rPr>
        <w:t xml:space="preserve">Толеранција дужинске мере </w:t>
      </w:r>
      <w:r w:rsidRPr="00DE2269">
        <w:rPr>
          <w:rFonts w:ascii="Times New Roman" w:hAnsi="Times New Roman" w:cs="Times New Roman"/>
          <w:b/>
        </w:rPr>
        <w:t xml:space="preserve">(T,t) </w:t>
      </w:r>
      <w:r w:rsidRPr="00DE2269">
        <w:rPr>
          <w:rFonts w:ascii="Times New Roman" w:hAnsi="Times New Roman" w:cs="Times New Roman"/>
          <w:b/>
          <w:lang w:val="sr-Cyrl-RS"/>
        </w:rPr>
        <w:t>јесте алгебарска разлика горње и доње граничне мере.</w:t>
      </w:r>
    </w:p>
    <w:p w:rsidR="00823D1D" w:rsidRPr="00DE2269" w:rsidRDefault="00823D1D" w:rsidP="00823D1D">
      <w:pPr>
        <w:jc w:val="both"/>
        <w:rPr>
          <w:rFonts w:ascii="Times New Roman" w:hAnsi="Times New Roman" w:cs="Times New Roman"/>
          <w:b/>
        </w:rPr>
      </w:pPr>
      <w:r w:rsidRPr="00DE2269">
        <w:rPr>
          <w:rFonts w:ascii="Times New Roman" w:hAnsi="Times New Roman" w:cs="Times New Roman"/>
          <w:b/>
        </w:rPr>
        <w:t xml:space="preserve">T=Dg-Dd  </w:t>
      </w:r>
      <w:r w:rsidRPr="00DE2269">
        <w:rPr>
          <w:rFonts w:ascii="Times New Roman" w:hAnsi="Times New Roman" w:cs="Times New Roman"/>
          <w:b/>
          <w:lang w:val="sr-Cyrl-RS"/>
        </w:rPr>
        <w:t xml:space="preserve">односно  </w:t>
      </w:r>
      <w:r w:rsidRPr="00DE2269">
        <w:rPr>
          <w:rFonts w:ascii="Times New Roman" w:hAnsi="Times New Roman" w:cs="Times New Roman"/>
          <w:b/>
        </w:rPr>
        <w:t>t=dg-dd</w:t>
      </w:r>
    </w:p>
    <w:p w:rsidR="00621183" w:rsidRPr="00DE2269" w:rsidRDefault="00621183" w:rsidP="00823D1D">
      <w:pPr>
        <w:jc w:val="both"/>
        <w:rPr>
          <w:rFonts w:ascii="Times New Roman" w:hAnsi="Times New Roman" w:cs="Times New Roman"/>
          <w:lang w:val="sr-Cyrl-RS"/>
        </w:rPr>
      </w:pPr>
      <w:r w:rsidRPr="00DE2269">
        <w:rPr>
          <w:rFonts w:ascii="Times New Roman" w:hAnsi="Times New Roman" w:cs="Times New Roman"/>
          <w:lang w:val="sr-Cyrl-RS"/>
        </w:rPr>
        <w:t>Да би се делови могли међусобно уклапати, стварна мера мора бити уграђена у границама толеранције. Замена делова је један од услова прописивања толеранција дужинских мера. Машине и уређаји раде у различитим температурним условима и да</w:t>
      </w:r>
      <w:r w:rsidR="000F3FDE" w:rsidRPr="00DE2269">
        <w:rPr>
          <w:rFonts w:ascii="Times New Roman" w:hAnsi="Times New Roman" w:cs="Times New Roman"/>
          <w:lang w:val="sr-Cyrl-RS"/>
        </w:rPr>
        <w:t xml:space="preserve"> се метал у таквим условима скупља и шири. Због тога се мења и стварна мера, али у границама толеранције. У току радног века машине мења се и њена прецизност</w:t>
      </w:r>
      <w:r w:rsidRPr="00DE2269">
        <w:rPr>
          <w:rFonts w:ascii="Times New Roman" w:hAnsi="Times New Roman" w:cs="Times New Roman"/>
          <w:lang w:val="sr-Cyrl-RS"/>
        </w:rPr>
        <w:t xml:space="preserve"> </w:t>
      </w:r>
      <w:r w:rsidR="00980505">
        <w:rPr>
          <w:rFonts w:ascii="Times New Roman" w:hAnsi="Times New Roman" w:cs="Times New Roman"/>
          <w:lang w:val="sr-Cyrl-RS"/>
        </w:rPr>
        <w:t>израде, троше се р</w:t>
      </w:r>
      <w:r w:rsidR="00980505">
        <w:rPr>
          <w:rFonts w:ascii="Times New Roman" w:hAnsi="Times New Roman" w:cs="Times New Roman"/>
        </w:rPr>
        <w:t>a</w:t>
      </w:r>
      <w:r w:rsidR="00980505">
        <w:rPr>
          <w:rFonts w:ascii="Times New Roman" w:hAnsi="Times New Roman" w:cs="Times New Roman"/>
          <w:lang w:val="sr-Cyrl-RS"/>
        </w:rPr>
        <w:t>д</w:t>
      </w:r>
      <w:r w:rsidR="000F3FDE" w:rsidRPr="00DE2269">
        <w:rPr>
          <w:rFonts w:ascii="Times New Roman" w:hAnsi="Times New Roman" w:cs="Times New Roman"/>
          <w:lang w:val="sr-Cyrl-RS"/>
        </w:rPr>
        <w:t>не површине, резни ал</w:t>
      </w:r>
      <w:r w:rsidR="00980505">
        <w:rPr>
          <w:rFonts w:ascii="Times New Roman" w:hAnsi="Times New Roman" w:cs="Times New Roman"/>
        </w:rPr>
        <w:t>a</w:t>
      </w:r>
      <w:r w:rsidR="000F3FDE" w:rsidRPr="00DE2269">
        <w:rPr>
          <w:rFonts w:ascii="Times New Roman" w:hAnsi="Times New Roman" w:cs="Times New Roman"/>
          <w:lang w:val="sr-Cyrl-RS"/>
        </w:rPr>
        <w:t>т, мења се прецизност мерног и контролног алата и прибора. Сви претходно наведени примери промене геометријских величина захтевају да се дужинске мере толеришу.</w:t>
      </w:r>
    </w:p>
    <w:p w:rsidR="00621183" w:rsidRDefault="00621183">
      <w:pPr>
        <w:rPr>
          <w:rFonts w:ascii="Times New Roman" w:hAnsi="Times New Roman" w:cs="Times New Roman"/>
          <w:b/>
          <w:sz w:val="32"/>
          <w:szCs w:val="32"/>
          <w:lang w:val="sr-Cyrl-RS"/>
        </w:rPr>
      </w:pPr>
      <w:r w:rsidRPr="00621183">
        <w:rPr>
          <w:rFonts w:ascii="Times New Roman" w:hAnsi="Times New Roman" w:cs="Times New Roman"/>
          <w:b/>
          <w:sz w:val="32"/>
          <w:szCs w:val="32"/>
          <w:lang w:val="sr-Cyrl-RS"/>
        </w:rPr>
        <w:t>Врсте дужинских мера</w:t>
      </w:r>
    </w:p>
    <w:p w:rsidR="00621183" w:rsidRPr="00DE2269" w:rsidRDefault="000F3FDE">
      <w:pPr>
        <w:rPr>
          <w:rFonts w:ascii="Times New Roman" w:hAnsi="Times New Roman" w:cs="Times New Roman"/>
          <w:b/>
          <w:lang w:val="sr-Cyrl-RS"/>
        </w:rPr>
      </w:pPr>
      <w:r w:rsidRPr="00DE2269">
        <w:rPr>
          <w:rFonts w:ascii="Times New Roman" w:hAnsi="Times New Roman" w:cs="Times New Roman"/>
          <w:b/>
          <w:lang w:val="sr-Cyrl-RS"/>
        </w:rPr>
        <w:t>Дужинске мере могу бити:</w:t>
      </w:r>
    </w:p>
    <w:p w:rsidR="000F3FDE" w:rsidRPr="00DE2269" w:rsidRDefault="000F3FDE" w:rsidP="000F3FDE">
      <w:pPr>
        <w:pStyle w:val="ListParagraph"/>
        <w:numPr>
          <w:ilvl w:val="0"/>
          <w:numId w:val="1"/>
        </w:numPr>
        <w:rPr>
          <w:rFonts w:ascii="Times New Roman" w:hAnsi="Times New Roman" w:cs="Times New Roman"/>
          <w:b/>
          <w:lang w:val="sr-Cyrl-RS"/>
        </w:rPr>
      </w:pPr>
      <w:r w:rsidRPr="00DE2269">
        <w:rPr>
          <w:rFonts w:ascii="Times New Roman" w:hAnsi="Times New Roman" w:cs="Times New Roman"/>
          <w:b/>
          <w:lang w:val="sr-Cyrl-RS"/>
        </w:rPr>
        <w:t>Спољашње</w:t>
      </w:r>
    </w:p>
    <w:p w:rsidR="000F3FDE" w:rsidRPr="00DE2269" w:rsidRDefault="000F3FDE" w:rsidP="000F3FDE">
      <w:pPr>
        <w:pStyle w:val="ListParagraph"/>
        <w:numPr>
          <w:ilvl w:val="0"/>
          <w:numId w:val="1"/>
        </w:numPr>
        <w:rPr>
          <w:rFonts w:ascii="Times New Roman" w:hAnsi="Times New Roman" w:cs="Times New Roman"/>
          <w:b/>
          <w:lang w:val="sr-Cyrl-RS"/>
        </w:rPr>
      </w:pPr>
      <w:r w:rsidRPr="00DE2269">
        <w:rPr>
          <w:rFonts w:ascii="Times New Roman" w:hAnsi="Times New Roman" w:cs="Times New Roman"/>
          <w:b/>
          <w:lang w:val="sr-Cyrl-RS"/>
        </w:rPr>
        <w:t>Унутрашње</w:t>
      </w:r>
    </w:p>
    <w:p w:rsidR="000F3FDE" w:rsidRPr="00DE2269" w:rsidRDefault="000F3FDE" w:rsidP="000F3FDE">
      <w:pPr>
        <w:pStyle w:val="ListParagraph"/>
        <w:numPr>
          <w:ilvl w:val="0"/>
          <w:numId w:val="1"/>
        </w:numPr>
        <w:rPr>
          <w:rFonts w:ascii="Times New Roman" w:hAnsi="Times New Roman" w:cs="Times New Roman"/>
          <w:b/>
          <w:lang w:val="sr-Cyrl-RS"/>
        </w:rPr>
      </w:pPr>
      <w:r w:rsidRPr="00DE2269">
        <w:rPr>
          <w:rFonts w:ascii="Times New Roman" w:hAnsi="Times New Roman" w:cs="Times New Roman"/>
          <w:b/>
          <w:lang w:val="sr-Cyrl-RS"/>
        </w:rPr>
        <w:t>Неодређене.</w:t>
      </w:r>
    </w:p>
    <w:p w:rsidR="000F3FDE" w:rsidRPr="00DE2269" w:rsidRDefault="000F3FDE" w:rsidP="000F3FDE">
      <w:pPr>
        <w:jc w:val="both"/>
        <w:rPr>
          <w:rFonts w:ascii="Times New Roman" w:hAnsi="Times New Roman" w:cs="Times New Roman"/>
          <w:b/>
          <w:lang w:val="sr-Cyrl-RS"/>
        </w:rPr>
      </w:pPr>
      <w:r w:rsidRPr="00DE2269">
        <w:rPr>
          <w:rFonts w:ascii="Times New Roman" w:hAnsi="Times New Roman" w:cs="Times New Roman"/>
          <w:b/>
          <w:lang w:val="sr-Cyrl-RS"/>
        </w:rPr>
        <w:t>Спољашње мере су дужинске мере делова које су при мерењу обухваћене унутрашњим површинама кљунастог помичног мерила или пипцима мерног алата. Уобичајено је да се за све спољашње мере користи израз „осовина“ и важи за све облике делова. Величине које се односе на спољашње мере означавају се малим словима латинице, абецеде.</w:t>
      </w:r>
    </w:p>
    <w:p w:rsidR="000F3FDE" w:rsidRPr="00DE2269" w:rsidRDefault="000F3FDE" w:rsidP="000F3FDE">
      <w:pPr>
        <w:jc w:val="both"/>
        <w:rPr>
          <w:rFonts w:ascii="Times New Roman" w:hAnsi="Times New Roman" w:cs="Times New Roman"/>
          <w:b/>
          <w:lang w:val="sr-Cyrl-RS"/>
        </w:rPr>
      </w:pPr>
      <w:r w:rsidRPr="00DE2269">
        <w:rPr>
          <w:rFonts w:ascii="Times New Roman" w:hAnsi="Times New Roman" w:cs="Times New Roman"/>
          <w:b/>
          <w:lang w:val="sr-Cyrl-RS"/>
        </w:rPr>
        <w:t>Унутрашње мере јесу дужинске мере које при мерењу обухватају спољашње површине кљунастог помичног мерила или пипке микрометра. Уобичајени назив за све унутрашње мере је термин „рупа“. Величине које се односе на унутрашње мере означавају се великим словима латинице</w:t>
      </w:r>
      <w:r w:rsidR="00DE2269" w:rsidRPr="00DE2269">
        <w:rPr>
          <w:rFonts w:ascii="Times New Roman" w:hAnsi="Times New Roman" w:cs="Times New Roman"/>
          <w:b/>
          <w:lang w:val="sr-Cyrl-RS"/>
        </w:rPr>
        <w:t>.</w:t>
      </w:r>
    </w:p>
    <w:p w:rsidR="00DE2269" w:rsidRDefault="00DE2269" w:rsidP="00F64AC3">
      <w:pPr>
        <w:spacing w:after="0"/>
        <w:jc w:val="both"/>
        <w:rPr>
          <w:rFonts w:ascii="Times New Roman" w:hAnsi="Times New Roman" w:cs="Times New Roman"/>
          <w:b/>
          <w:lang w:val="sr-Cyrl-RS"/>
        </w:rPr>
      </w:pPr>
      <w:r w:rsidRPr="00DE2269">
        <w:rPr>
          <w:rFonts w:ascii="Times New Roman" w:hAnsi="Times New Roman" w:cs="Times New Roman"/>
          <w:b/>
          <w:lang w:val="sr-Cyrl-RS"/>
        </w:rPr>
        <w:t>Неодређене мере су дужинске мере које се могу обухватити ни спољашњим ни унутрашњим површинама кљунастог помичног мерила. Неодређене мере називају се још и дубинским мерама јер се могу измерити дубинометром.</w:t>
      </w:r>
    </w:p>
    <w:p w:rsidR="00980505" w:rsidRPr="00DE2269" w:rsidRDefault="00980505" w:rsidP="00F64AC3">
      <w:pPr>
        <w:spacing w:after="0"/>
        <w:jc w:val="both"/>
        <w:rPr>
          <w:rFonts w:ascii="Times New Roman" w:hAnsi="Times New Roman" w:cs="Times New Roman"/>
          <w:b/>
          <w:lang w:val="sr-Cyrl-RS"/>
        </w:rPr>
      </w:pPr>
      <w:bookmarkStart w:id="0" w:name="_GoBack"/>
      <w:bookmarkEnd w:id="0"/>
    </w:p>
    <w:tbl>
      <w:tblPr>
        <w:tblStyle w:val="TableGrid"/>
        <w:tblW w:w="0" w:type="auto"/>
        <w:tblLook w:val="04A0" w:firstRow="1" w:lastRow="0" w:firstColumn="1" w:lastColumn="0" w:noHBand="0" w:noVBand="1"/>
      </w:tblPr>
      <w:tblGrid>
        <w:gridCol w:w="3587"/>
        <w:gridCol w:w="3587"/>
        <w:gridCol w:w="3588"/>
      </w:tblGrid>
      <w:tr w:rsidR="00DE2269" w:rsidTr="00DE2269">
        <w:tc>
          <w:tcPr>
            <w:tcW w:w="3587" w:type="dxa"/>
          </w:tcPr>
          <w:p w:rsidR="00DE2269" w:rsidRDefault="00980505" w:rsidP="000F3FDE">
            <w:pPr>
              <w:jc w:val="both"/>
              <w:rPr>
                <w:rFonts w:ascii="Times New Roman" w:hAnsi="Times New Roman" w:cs="Times New Roman"/>
                <w:b/>
                <w:sz w:val="24"/>
                <w:szCs w:val="24"/>
                <w:lang w:val="sr-Cyrl-RS"/>
              </w:rPr>
            </w:pPr>
            <w:r>
              <w:object w:dxaOrig="2280"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98.25pt" o:ole="">
                  <v:imagedata r:id="rId6" o:title=""/>
                </v:shape>
                <o:OLEObject Type="Embed" ProgID="PBrush" ShapeID="_x0000_i1025" DrawAspect="Content" ObjectID="_1692397981" r:id="rId7"/>
              </w:object>
            </w:r>
          </w:p>
          <w:p w:rsidR="00F64AC3" w:rsidRDefault="00F64AC3" w:rsidP="000F3FDE">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Спољашња мера</w:t>
            </w:r>
          </w:p>
        </w:tc>
        <w:tc>
          <w:tcPr>
            <w:tcW w:w="3587" w:type="dxa"/>
          </w:tcPr>
          <w:p w:rsidR="00DE2269" w:rsidRDefault="00980505" w:rsidP="000F3FDE">
            <w:pPr>
              <w:jc w:val="both"/>
              <w:rPr>
                <w:rFonts w:ascii="Times New Roman" w:hAnsi="Times New Roman" w:cs="Times New Roman"/>
                <w:b/>
                <w:sz w:val="24"/>
                <w:szCs w:val="24"/>
                <w:lang w:val="sr-Cyrl-RS"/>
              </w:rPr>
            </w:pPr>
            <w:r>
              <w:object w:dxaOrig="2235" w:dyaOrig="2010">
                <v:shape id="_x0000_i1027" type="#_x0000_t75" style="width:111.75pt;height:100.5pt" o:ole="">
                  <v:imagedata r:id="rId8" o:title=""/>
                </v:shape>
                <o:OLEObject Type="Embed" ProgID="PBrush" ShapeID="_x0000_i1027" DrawAspect="Content" ObjectID="_1692397982" r:id="rId9"/>
              </w:object>
            </w:r>
          </w:p>
          <w:p w:rsidR="00F64AC3" w:rsidRDefault="00F64AC3" w:rsidP="000F3FDE">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Унутрашња мера</w:t>
            </w:r>
          </w:p>
        </w:tc>
        <w:tc>
          <w:tcPr>
            <w:tcW w:w="3588" w:type="dxa"/>
          </w:tcPr>
          <w:p w:rsidR="00DE2269" w:rsidRDefault="00F64AC3" w:rsidP="000F3FDE">
            <w:pPr>
              <w:jc w:val="both"/>
              <w:rPr>
                <w:rFonts w:ascii="Times New Roman" w:hAnsi="Times New Roman" w:cs="Times New Roman"/>
                <w:b/>
                <w:sz w:val="24"/>
                <w:szCs w:val="24"/>
                <w:lang w:val="sr-Cyrl-RS"/>
              </w:rPr>
            </w:pPr>
            <w:r>
              <w:rPr>
                <w:rFonts w:ascii="Times New Roman" w:hAnsi="Times New Roman" w:cs="Times New Roman"/>
                <w:b/>
                <w:noProof/>
                <w:sz w:val="24"/>
                <w:szCs w:val="24"/>
                <w:lang w:val="en-US"/>
              </w:rPr>
              <w:drawing>
                <wp:inline distT="0" distB="0" distL="0" distR="0" wp14:anchorId="2B91070D" wp14:editId="75C84F3E">
                  <wp:extent cx="1566780" cy="1076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Scanner 08-30-2021 22.40_3.jpg"/>
                          <pic:cNvPicPr/>
                        </pic:nvPicPr>
                        <pic:blipFill>
                          <a:blip r:embed="rId10" cstate="print">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569090" cy="1077912"/>
                          </a:xfrm>
                          <a:prstGeom prst="rect">
                            <a:avLst/>
                          </a:prstGeom>
                        </pic:spPr>
                      </pic:pic>
                    </a:graphicData>
                  </a:graphic>
                </wp:inline>
              </w:drawing>
            </w:r>
          </w:p>
          <w:p w:rsidR="00F64AC3" w:rsidRDefault="00F64AC3" w:rsidP="000F3FDE">
            <w:pPr>
              <w:jc w:val="both"/>
              <w:rPr>
                <w:rFonts w:ascii="Times New Roman" w:hAnsi="Times New Roman" w:cs="Times New Roman"/>
                <w:b/>
                <w:sz w:val="24"/>
                <w:szCs w:val="24"/>
                <w:lang w:val="sr-Cyrl-RS"/>
              </w:rPr>
            </w:pPr>
          </w:p>
          <w:p w:rsidR="00F64AC3" w:rsidRDefault="00F64AC3" w:rsidP="000F3FDE">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Неодређена мера</w:t>
            </w:r>
          </w:p>
        </w:tc>
      </w:tr>
    </w:tbl>
    <w:p w:rsidR="00DE2269" w:rsidRPr="000F3FDE" w:rsidRDefault="00DE2269" w:rsidP="00F64AC3">
      <w:pPr>
        <w:jc w:val="both"/>
        <w:rPr>
          <w:rFonts w:ascii="Times New Roman" w:hAnsi="Times New Roman" w:cs="Times New Roman"/>
          <w:b/>
          <w:sz w:val="24"/>
          <w:szCs w:val="24"/>
          <w:lang w:val="sr-Cyrl-RS"/>
        </w:rPr>
      </w:pPr>
    </w:p>
    <w:sectPr w:rsidR="00DE2269" w:rsidRPr="000F3FDE" w:rsidSect="00192A4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0506E"/>
    <w:multiLevelType w:val="hybridMultilevel"/>
    <w:tmpl w:val="F4C82886"/>
    <w:lvl w:ilvl="0" w:tplc="7DEE9A82">
      <w:start w:val="2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4C"/>
    <w:rsid w:val="000F3FDE"/>
    <w:rsid w:val="00192A4C"/>
    <w:rsid w:val="00576666"/>
    <w:rsid w:val="00621183"/>
    <w:rsid w:val="00823D1D"/>
    <w:rsid w:val="00980505"/>
    <w:rsid w:val="00D6501F"/>
    <w:rsid w:val="00DE2269"/>
    <w:rsid w:val="00F64AC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D37F"/>
  <w15:chartTrackingRefBased/>
  <w15:docId w15:val="{7E084361-BC3F-4A91-9CB4-DCD6B6DF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FDE"/>
    <w:pPr>
      <w:ind w:left="720"/>
      <w:contextualSpacing/>
    </w:pPr>
  </w:style>
  <w:style w:type="table" w:styleId="TableGrid">
    <w:name w:val="Table Grid"/>
    <w:basedOn w:val="TableNormal"/>
    <w:uiPriority w:val="39"/>
    <w:rsid w:val="00DE2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A8183-2D7E-445B-BA1C-5BB53B9F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Win10</cp:lastModifiedBy>
  <cp:revision>2</cp:revision>
  <dcterms:created xsi:type="dcterms:W3CDTF">2021-09-05T23:47:00Z</dcterms:created>
  <dcterms:modified xsi:type="dcterms:W3CDTF">2021-09-05T23:47:00Z</dcterms:modified>
</cp:coreProperties>
</file>