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FA" w:rsidRDefault="008765A1">
      <w:pPr>
        <w:spacing w:after="150"/>
      </w:pP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5">
        <w:r>
          <w:rPr>
            <w:rStyle w:val="Hyperlink"/>
            <w:color w:val="337AB7"/>
          </w:rPr>
          <w:t>www.pravno-informacioni-sistem.rs</w:t>
        </w:r>
      </w:hyperlink>
    </w:p>
    <w:p w:rsidR="00C900FA" w:rsidRDefault="008765A1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7.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дуалном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101/17),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просвете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науке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технолошког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C900FA" w:rsidRDefault="008765A1">
      <w:pPr>
        <w:spacing w:after="225"/>
        <w:jc w:val="center"/>
      </w:pPr>
      <w:r>
        <w:rPr>
          <w:b/>
          <w:color w:val="000000"/>
        </w:rPr>
        <w:t>ПРАВИЛНИК</w:t>
      </w:r>
    </w:p>
    <w:p w:rsidR="00C900FA" w:rsidRDefault="008765A1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распоређивања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ученика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кроз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</w:t>
      </w:r>
      <w:proofErr w:type="spellEnd"/>
    </w:p>
    <w:p w:rsidR="00C900FA" w:rsidRDefault="008765A1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102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21. </w:t>
      </w:r>
      <w:proofErr w:type="spellStart"/>
      <w:proofErr w:type="gramStart"/>
      <w:r>
        <w:rPr>
          <w:color w:val="000000"/>
        </w:rPr>
        <w:t>децембра</w:t>
      </w:r>
      <w:proofErr w:type="spellEnd"/>
      <w:proofErr w:type="gramEnd"/>
      <w:r>
        <w:rPr>
          <w:color w:val="000000"/>
        </w:rPr>
        <w:t xml:space="preserve"> 2018.</w:t>
      </w:r>
    </w:p>
    <w:p w:rsidR="00C900FA" w:rsidRDefault="008765A1">
      <w:pPr>
        <w:spacing w:after="120"/>
        <w:jc w:val="center"/>
      </w:pPr>
      <w:proofErr w:type="spellStart"/>
      <w:r>
        <w:rPr>
          <w:b/>
          <w:color w:val="000000"/>
        </w:rPr>
        <w:t>Предмет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Правилника</w:t>
      </w:r>
      <w:proofErr w:type="spellEnd"/>
    </w:p>
    <w:p w:rsidR="00C900FA" w:rsidRDefault="008765A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распоређивање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), у </w:t>
      </w:r>
      <w:proofErr w:type="spellStart"/>
      <w:r>
        <w:rPr>
          <w:color w:val="000000"/>
        </w:rPr>
        <w:t>средњим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школама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профил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дуалном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одвија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средњим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школама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учења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различити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дуалном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20"/>
        <w:jc w:val="center"/>
      </w:pPr>
      <w:proofErr w:type="spellStart"/>
      <w:r>
        <w:rPr>
          <w:b/>
          <w:color w:val="000000"/>
        </w:rPr>
        <w:t>Учесници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распоређивању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ученика</w:t>
      </w:r>
      <w:proofErr w:type="spellEnd"/>
    </w:p>
    <w:p w:rsidR="00C900FA" w:rsidRDefault="008765A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Распоређивање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сарадници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представници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каријерно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саветовање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образованог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дуалном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образовању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), у </w:t>
      </w:r>
      <w:proofErr w:type="spellStart"/>
      <w:r>
        <w:rPr>
          <w:color w:val="000000"/>
        </w:rPr>
        <w:t>сарадњи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ученицима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заступницима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усклађивањем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исказаних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ученицима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Представници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учествују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распоређивању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профил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чијој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учествују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20"/>
        <w:jc w:val="center"/>
      </w:pPr>
      <w:proofErr w:type="spellStart"/>
      <w:r>
        <w:rPr>
          <w:b/>
          <w:color w:val="000000"/>
        </w:rPr>
        <w:t>Информисање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ученика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распоређивања</w:t>
      </w:r>
      <w:proofErr w:type="spellEnd"/>
    </w:p>
    <w:p w:rsidR="00C900FA" w:rsidRDefault="008765A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ученицима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заступницима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упознаје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слободних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окружењу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lastRenderedPageBreak/>
        <w:t>најкасније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седмице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учења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почиње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контекст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интервју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20"/>
        <w:jc w:val="center"/>
      </w:pPr>
      <w:proofErr w:type="spellStart"/>
      <w:r>
        <w:rPr>
          <w:b/>
          <w:color w:val="000000"/>
        </w:rPr>
        <w:t>Интервју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послодаваца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ученицима</w:t>
      </w:r>
      <w:proofErr w:type="spellEnd"/>
    </w:p>
    <w:p w:rsidR="00C900FA" w:rsidRDefault="008765A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школи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интервјуисање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учествовање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заступника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присуствује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интервјуу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присуствује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педагог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психолог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20"/>
        <w:jc w:val="center"/>
      </w:pPr>
      <w:proofErr w:type="spellStart"/>
      <w:r>
        <w:rPr>
          <w:b/>
          <w:color w:val="000000"/>
        </w:rPr>
        <w:t>Листе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жеља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ученика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послодаваца</w:t>
      </w:r>
      <w:proofErr w:type="spellEnd"/>
    </w:p>
    <w:p w:rsidR="00C900FA" w:rsidRDefault="008765A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интервјуа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ученицима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изјашњавање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сачињавају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рангирајући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најпожељнијег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пожељног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потписује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родитељ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педагог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психолог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Сваки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интервјуа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ученицима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сачињава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изјасни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слободних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20"/>
        <w:jc w:val="center"/>
      </w:pPr>
      <w:proofErr w:type="spellStart"/>
      <w:r>
        <w:rPr>
          <w:b/>
          <w:color w:val="000000"/>
        </w:rPr>
        <w:t>Усаглашавање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жеља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ученика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послодаваца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коначна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листа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распоређивања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ученика</w:t>
      </w:r>
      <w:proofErr w:type="spellEnd"/>
    </w:p>
    <w:p w:rsidR="00C900FA" w:rsidRDefault="008765A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proofErr w:type="gramStart"/>
      <w:r>
        <w:rPr>
          <w:color w:val="000000"/>
        </w:rPr>
        <w:t>ст</w:t>
      </w:r>
      <w:proofErr w:type="spellEnd"/>
      <w:proofErr w:type="gramEnd"/>
      <w:r>
        <w:rPr>
          <w:color w:val="000000"/>
        </w:rPr>
        <w:t xml:space="preserve">. 1.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сачињава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послодавцима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упарујући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жеље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попуњавања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слободних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50"/>
      </w:pPr>
      <w:r>
        <w:rPr>
          <w:color w:val="000000"/>
        </w:rPr>
        <w:lastRenderedPageBreak/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ученик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рангирао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Ученици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распореде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1.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распоређује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најбољим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узимајући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обзир</w:t>
      </w:r>
      <w:proofErr w:type="spellEnd"/>
      <w:r>
        <w:rPr>
          <w:color w:val="000000"/>
        </w:rPr>
        <w:t>:</w:t>
      </w:r>
    </w:p>
    <w:p w:rsidR="00C900FA" w:rsidRDefault="008765A1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близину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>;</w:t>
      </w:r>
    </w:p>
    <w:p w:rsidR="00C900FA" w:rsidRDefault="008765A1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равномерну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заступљеност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>;</w:t>
      </w:r>
    </w:p>
    <w:p w:rsidR="00C900FA" w:rsidRDefault="008765A1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других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околности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послодавца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разреда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3.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и о:</w:t>
      </w:r>
    </w:p>
    <w:p w:rsidR="00C900FA" w:rsidRDefault="008765A1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равномерном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одличним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добрим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довољним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успехом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>;</w:t>
      </w:r>
    </w:p>
    <w:p w:rsidR="00C900FA" w:rsidRDefault="008765A1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оцени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препоруци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1–4.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сачињава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коначну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20"/>
        <w:jc w:val="center"/>
      </w:pPr>
      <w:proofErr w:type="spellStart"/>
      <w:r>
        <w:rPr>
          <w:b/>
          <w:color w:val="000000"/>
        </w:rPr>
        <w:t>Записник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распоређивању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ученика</w:t>
      </w:r>
      <w:proofErr w:type="spellEnd"/>
    </w:p>
    <w:p w:rsidR="00C900FA" w:rsidRDefault="008765A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6.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5.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сачињава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распоређивању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Записник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распоређивања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образложење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6. </w:t>
      </w:r>
      <w:proofErr w:type="spellStart"/>
      <w:proofErr w:type="gramStart"/>
      <w:r>
        <w:rPr>
          <w:color w:val="000000"/>
        </w:rPr>
        <w:t>ст</w:t>
      </w:r>
      <w:proofErr w:type="spellEnd"/>
      <w:proofErr w:type="gramEnd"/>
      <w:r>
        <w:rPr>
          <w:color w:val="000000"/>
        </w:rPr>
        <w:t xml:space="preserve">. 3.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Записник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потписују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овлашћено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директор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родитељи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записник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педагог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психолог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Послодавци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реализују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ученици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похађају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записнику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5.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ученици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реализовати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родитеља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заступника</w:t>
      </w:r>
      <w:proofErr w:type="spellEnd"/>
      <w:r>
        <w:rPr>
          <w:color w:val="000000"/>
        </w:rPr>
        <w:t>.</w:t>
      </w:r>
    </w:p>
    <w:p w:rsidR="00C900FA" w:rsidRDefault="008765A1">
      <w:pPr>
        <w:spacing w:after="120"/>
        <w:jc w:val="center"/>
      </w:pPr>
      <w:proofErr w:type="spellStart"/>
      <w:r>
        <w:rPr>
          <w:b/>
          <w:color w:val="000000"/>
        </w:rPr>
        <w:t>Ступање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</w:p>
    <w:p w:rsidR="00C900FA" w:rsidRDefault="008765A1">
      <w:pPr>
        <w:spacing w:after="12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8.</w:t>
      </w:r>
    </w:p>
    <w:p w:rsidR="00C900FA" w:rsidRDefault="008765A1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C900FA" w:rsidRDefault="008765A1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110-00-00743/2018-18</w:t>
      </w:r>
    </w:p>
    <w:p w:rsidR="00C900FA" w:rsidRDefault="008765A1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13. </w:t>
      </w:r>
      <w:proofErr w:type="spellStart"/>
      <w:proofErr w:type="gramStart"/>
      <w:r>
        <w:rPr>
          <w:color w:val="000000"/>
        </w:rPr>
        <w:t>децембра</w:t>
      </w:r>
      <w:proofErr w:type="spellEnd"/>
      <w:proofErr w:type="gramEnd"/>
      <w:r>
        <w:rPr>
          <w:color w:val="000000"/>
        </w:rPr>
        <w:t xml:space="preserve"> 2018.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C900FA" w:rsidRDefault="008765A1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C900FA" w:rsidRDefault="008765A1">
      <w:pPr>
        <w:spacing w:after="150"/>
        <w:jc w:val="right"/>
        <w:rPr>
          <w:color w:val="000000"/>
        </w:rPr>
      </w:pPr>
      <w:proofErr w:type="spellStart"/>
      <w:r>
        <w:rPr>
          <w:b/>
          <w:color w:val="000000"/>
        </w:rPr>
        <w:t>Младен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Шарчевић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A84615" w:rsidRDefault="00A84615">
      <w:pPr>
        <w:spacing w:after="150"/>
        <w:jc w:val="right"/>
        <w:rPr>
          <w:color w:val="000000"/>
        </w:rPr>
      </w:pPr>
    </w:p>
    <w:p w:rsidR="00A84615" w:rsidRDefault="00A84615" w:rsidP="00A84615">
      <w:pPr>
        <w:spacing w:after="150"/>
        <w:jc w:val="both"/>
      </w:pPr>
      <w:bookmarkStart w:id="0" w:name="_GoBack"/>
      <w:bookmarkEnd w:id="0"/>
    </w:p>
    <w:sectPr w:rsidR="00A846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17452"/>
    <w:multiLevelType w:val="hybridMultilevel"/>
    <w:tmpl w:val="5C42B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95B7C"/>
    <w:multiLevelType w:val="hybridMultilevel"/>
    <w:tmpl w:val="0FEE5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00FA"/>
    <w:rsid w:val="008765A1"/>
    <w:rsid w:val="00A76F22"/>
    <w:rsid w:val="00A84615"/>
    <w:rsid w:val="00C9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A24753-64F4-442A-87B1-DF56ADF4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ListParagraph">
    <w:name w:val="List Paragraph"/>
    <w:basedOn w:val="Normal"/>
    <w:uiPriority w:val="99"/>
    <w:rsid w:val="00876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0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94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6890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25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67696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6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13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1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9336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0151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Toshiba</cp:lastModifiedBy>
  <cp:revision>4</cp:revision>
  <dcterms:created xsi:type="dcterms:W3CDTF">2021-12-10T10:27:00Z</dcterms:created>
  <dcterms:modified xsi:type="dcterms:W3CDTF">2021-12-11T15:46:00Z</dcterms:modified>
</cp:coreProperties>
</file>