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93" w:rsidRDefault="007E50E0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r>
        <w:rPr>
          <w:color w:val="000000"/>
        </w:rPr>
        <w:t xml:space="preserve">Преузето са </w:t>
      </w:r>
      <w:hyperlink r:id="rId6">
        <w:r>
          <w:rPr>
            <w:rStyle w:val="Hyperlink"/>
            <w:color w:val="337AB7"/>
          </w:rPr>
          <w:t>www.pravno-informacioni-sistem.rs</w:t>
        </w:r>
      </w:hyperlink>
    </w:p>
    <w:p w:rsidR="00110C93" w:rsidRDefault="007E50E0">
      <w:pPr>
        <w:spacing w:after="150"/>
      </w:pPr>
      <w:r>
        <w:rPr>
          <w:color w:val="000000"/>
        </w:rPr>
        <w:t>На основу члана 30. став 14. Закона о дуалном образовању („Службени гласник РС”, број 101/17),</w:t>
      </w:r>
    </w:p>
    <w:p w:rsidR="00110C93" w:rsidRDefault="007E50E0">
      <w:pPr>
        <w:spacing w:after="150"/>
      </w:pPr>
      <w:r>
        <w:rPr>
          <w:color w:val="000000"/>
        </w:rPr>
        <w:t>Министар просвете, науке и технолошког развоја доноси</w:t>
      </w:r>
    </w:p>
    <w:p w:rsidR="00110C93" w:rsidRDefault="007E50E0">
      <w:pPr>
        <w:spacing w:after="225"/>
        <w:jc w:val="center"/>
      </w:pPr>
      <w:r>
        <w:rPr>
          <w:b/>
          <w:color w:val="000000"/>
        </w:rPr>
        <w:t>ПРАВИЛНИК</w:t>
      </w:r>
    </w:p>
    <w:p w:rsidR="00110C93" w:rsidRDefault="007E50E0">
      <w:pPr>
        <w:spacing w:after="225"/>
        <w:jc w:val="center"/>
      </w:pPr>
      <w:r>
        <w:rPr>
          <w:b/>
          <w:color w:val="000000"/>
        </w:rPr>
        <w:t>о програму обуке, ближим условима и другим питањима од значаја за полагање испита за инструктора</w:t>
      </w:r>
    </w:p>
    <w:p w:rsidR="00110C93" w:rsidRDefault="007E50E0">
      <w:pPr>
        <w:spacing w:after="120"/>
        <w:jc w:val="center"/>
      </w:pPr>
      <w:r>
        <w:rPr>
          <w:color w:val="000000"/>
        </w:rPr>
        <w:t>"Службени гласник РС", број 70 од 21. септембра 2018.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1.</w:t>
      </w:r>
    </w:p>
    <w:p w:rsidR="00110C93" w:rsidRDefault="007E50E0">
      <w:pPr>
        <w:spacing w:after="150"/>
      </w:pPr>
      <w:r>
        <w:rPr>
          <w:color w:val="000000"/>
        </w:rPr>
        <w:t>Овим правилником утврђује се Програм обуке за инструктора као и ближи услови и друга питања од значаја за полагање испита за стицање лиценце инструктора.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Обука за полагање испита за инструктора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2.</w:t>
      </w:r>
    </w:p>
    <w:p w:rsidR="00110C93" w:rsidRDefault="007E50E0">
      <w:pPr>
        <w:spacing w:after="150"/>
      </w:pPr>
      <w:r>
        <w:rPr>
          <w:color w:val="000000"/>
        </w:rPr>
        <w:t>Обуку за полагање испита за инструктора спроводи Привредна комора Србије (у даљем тексту: Привредна комора) на основу програма обуке инструктора (у даљем тексту: програм обуке), у складу са Законом о дуалном образовању (у даљем тексту: закон) и овим правилником.</w:t>
      </w:r>
    </w:p>
    <w:p w:rsidR="00110C93" w:rsidRDefault="007E50E0">
      <w:pPr>
        <w:spacing w:after="150"/>
      </w:pPr>
      <w:r>
        <w:rPr>
          <w:color w:val="000000"/>
        </w:rPr>
        <w:t>Програм обуке заснован је на опису компетенција које произлазе из одговорности и услова прописаних Законом о дуалном образовању.</w:t>
      </w:r>
    </w:p>
    <w:p w:rsidR="00110C93" w:rsidRDefault="007E50E0">
      <w:pPr>
        <w:spacing w:after="150"/>
      </w:pPr>
      <w:r>
        <w:rPr>
          <w:color w:val="000000"/>
        </w:rPr>
        <w:t>Сврха програма обуке је осигурање квалитета реализације учења кроз рад путем дефинисања исхода којима се обезбеђује оспособљеност инструктора за успешно планирање, реализацију и праћење компетенција ученика.</w:t>
      </w:r>
    </w:p>
    <w:p w:rsidR="00110C93" w:rsidRDefault="007E50E0">
      <w:pPr>
        <w:spacing w:after="150"/>
      </w:pPr>
      <w:r>
        <w:rPr>
          <w:color w:val="000000"/>
        </w:rPr>
        <w:t>Обука за инструктора траје 40 сати.</w:t>
      </w:r>
    </w:p>
    <w:p w:rsidR="00110C93" w:rsidRDefault="007E50E0">
      <w:pPr>
        <w:spacing w:after="150"/>
      </w:pPr>
      <w:r>
        <w:rPr>
          <w:color w:val="000000"/>
        </w:rPr>
        <w:t>Програм обуке садржи пет области: примена законодавног оквира у учењу кроз рад, планирање и припрема учења кроз рад, реализација учења кроз рад, праћење и вредновање компетенција у учењу кроз рад и подршка развоју ученика у учењу кроз рад.</w:t>
      </w:r>
    </w:p>
    <w:p w:rsidR="00110C93" w:rsidRDefault="007E50E0">
      <w:pPr>
        <w:spacing w:after="150"/>
      </w:pPr>
      <w:r>
        <w:rPr>
          <w:color w:val="000000"/>
        </w:rPr>
        <w:t>Програм обуке одштампан је уз овај правилник и чини његов саставни део.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Подношење захтева за спровођење обуке за инструктора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3.</w:t>
      </w:r>
    </w:p>
    <w:p w:rsidR="00110C93" w:rsidRDefault="007E50E0">
      <w:pPr>
        <w:spacing w:after="150"/>
      </w:pPr>
      <w:r>
        <w:rPr>
          <w:color w:val="000000"/>
        </w:rPr>
        <w:t>Послодавац који има намеру да се укључи у дуално образовање, подноси захтев Привредној комори за обављање обуке запослених за стицање лиценце за инструктора.</w:t>
      </w:r>
    </w:p>
    <w:p w:rsidR="00110C93" w:rsidRDefault="007E50E0">
      <w:pPr>
        <w:spacing w:after="150"/>
      </w:pPr>
      <w:r>
        <w:rPr>
          <w:color w:val="000000"/>
        </w:rPr>
        <w:lastRenderedPageBreak/>
        <w:t>Запослени кога послодавац пријављује за обуку мора да испуњава услове прописане чланом 11. став 1. тачка 6) и чланом 29. став 1. тач. 1)–4) закона.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4.</w:t>
      </w:r>
    </w:p>
    <w:p w:rsidR="00110C93" w:rsidRDefault="007E50E0">
      <w:pPr>
        <w:spacing w:after="150"/>
      </w:pPr>
      <w:r>
        <w:rPr>
          <w:color w:val="000000"/>
        </w:rPr>
        <w:t>Уз захтев за спровођење обуке за инструктора, послодавац у оригиналу или овереној копији доставља доказе да запослени испуњава услове из члана 3. става 2. овог правилника.</w:t>
      </w:r>
    </w:p>
    <w:p w:rsidR="00110C93" w:rsidRDefault="007E50E0">
      <w:pPr>
        <w:spacing w:after="150"/>
      </w:pPr>
      <w:r>
        <w:rPr>
          <w:color w:val="000000"/>
        </w:rPr>
        <w:t>Поред документације из става 1. овог члана, послодавац уз захтев доставља и доказ о уплати накнаде за спровођење обуке, у складу са општим актом Привредне коморе.</w:t>
      </w:r>
    </w:p>
    <w:p w:rsidR="00110C93" w:rsidRDefault="007E50E0">
      <w:pPr>
        <w:spacing w:after="150"/>
      </w:pPr>
      <w:r>
        <w:rPr>
          <w:color w:val="000000"/>
        </w:rPr>
        <w:t>Послодавца који поднесе захтев који не садржи све потребне доказе, Привредна комора обавештава да у року од осам дана од дана пријема обавештења допуни захтев.</w:t>
      </w:r>
    </w:p>
    <w:p w:rsidR="00110C93" w:rsidRDefault="007E50E0">
      <w:pPr>
        <w:spacing w:after="150"/>
      </w:pPr>
      <w:r>
        <w:rPr>
          <w:color w:val="000000"/>
        </w:rPr>
        <w:t>Уколико у року из става 3. овог члана подносилац захтева не допуни захтев, захтев се одбацује.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Спровођење обуке за инструктора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5.</w:t>
      </w:r>
    </w:p>
    <w:p w:rsidR="00110C93" w:rsidRDefault="007E50E0">
      <w:pPr>
        <w:spacing w:after="150"/>
      </w:pPr>
      <w:r>
        <w:rPr>
          <w:color w:val="000000"/>
        </w:rPr>
        <w:t>Обуке за инструкторе се организују у терминима оглашеним на званичној интернет страници Привредне коморе.</w:t>
      </w:r>
    </w:p>
    <w:p w:rsidR="00110C93" w:rsidRDefault="007E50E0">
      <w:pPr>
        <w:spacing w:after="150"/>
      </w:pPr>
      <w:r>
        <w:rPr>
          <w:color w:val="000000"/>
        </w:rPr>
        <w:t>Привредна комора може да организује обуку и у другим терминима на захтев једног или више послодаваца.</w:t>
      </w:r>
    </w:p>
    <w:p w:rsidR="00110C93" w:rsidRDefault="007E50E0">
      <w:pPr>
        <w:spacing w:after="150"/>
      </w:pPr>
      <w:r>
        <w:rPr>
          <w:color w:val="000000"/>
        </w:rPr>
        <w:t>Број полазника у групи не може бити већи од 15 по једном тренеру.</w:t>
      </w:r>
    </w:p>
    <w:p w:rsidR="00110C93" w:rsidRDefault="007E50E0">
      <w:pPr>
        <w:spacing w:after="150"/>
      </w:pPr>
      <w:r>
        <w:rPr>
          <w:color w:val="000000"/>
        </w:rPr>
        <w:t>Обуке се реализују применом комбинованих метода рада са одраслим полазницима (кратка предавања, практичне вежбе, дискусије и сл.), предавања у просторијама Привредне коморе или послодавца, а теоријски део обуке се може реализовати путем онлајн курсева у складу са информатичким компетенцијама кандидата.</w:t>
      </w:r>
    </w:p>
    <w:p w:rsidR="00110C93" w:rsidRDefault="007E50E0">
      <w:pPr>
        <w:spacing w:after="150"/>
      </w:pPr>
      <w:r>
        <w:rPr>
          <w:color w:val="000000"/>
        </w:rPr>
        <w:t>Обуке реализују тренери које одређује Привредна комора, у складу са својим општим актом.</w:t>
      </w:r>
    </w:p>
    <w:p w:rsidR="00110C93" w:rsidRDefault="007E50E0">
      <w:pPr>
        <w:spacing w:after="150"/>
      </w:pPr>
      <w:r>
        <w:rPr>
          <w:color w:val="000000"/>
        </w:rPr>
        <w:t>Полазници морају похађати најмање 80% предвиђених часове обуке.</w:t>
      </w:r>
    </w:p>
    <w:p w:rsidR="00110C93" w:rsidRDefault="007E50E0">
      <w:pPr>
        <w:spacing w:after="150"/>
      </w:pPr>
      <w:r>
        <w:rPr>
          <w:color w:val="000000"/>
        </w:rPr>
        <w:t>Изузетно, полазници могу оправдати своје одсуство у случају болести и друге спречености, уз обавезу надокнаде пропуштених предавања.</w:t>
      </w:r>
    </w:p>
    <w:p w:rsidR="00110C93" w:rsidRDefault="007E50E0">
      <w:pPr>
        <w:spacing w:after="150"/>
      </w:pPr>
      <w:r>
        <w:rPr>
          <w:color w:val="000000"/>
        </w:rPr>
        <w:t>Полазницима који су похађали цео програм обуке, односно најмање 80% предвиђених часове обуке, Привредна комора издаје потврду о завршеној обуци за инструкторе.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Организација испита за лиценцу за инструктора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6.</w:t>
      </w:r>
    </w:p>
    <w:p w:rsidR="00110C93" w:rsidRDefault="007E50E0">
      <w:pPr>
        <w:spacing w:after="150"/>
      </w:pPr>
      <w:r>
        <w:rPr>
          <w:color w:val="000000"/>
        </w:rPr>
        <w:lastRenderedPageBreak/>
        <w:t>Привредна комора организује полагање испита за лиценцу инструктора за лица из члана 5. став 8. овог правилника.</w:t>
      </w:r>
    </w:p>
    <w:p w:rsidR="00110C93" w:rsidRDefault="007E50E0">
      <w:pPr>
        <w:spacing w:after="150"/>
      </w:pPr>
      <w:r>
        <w:rPr>
          <w:color w:val="000000"/>
        </w:rPr>
        <w:t>Термине за полагање испита за лиценцу инструктора, Привредна комора оглашава на својој званичној интернет страници.</w:t>
      </w:r>
    </w:p>
    <w:p w:rsidR="00110C93" w:rsidRDefault="007E50E0">
      <w:pPr>
        <w:spacing w:after="150"/>
      </w:pPr>
      <w:r>
        <w:rPr>
          <w:color w:val="000000"/>
        </w:rPr>
        <w:t>Испит за лиценцу за инструктора може се организовати и у другим терминима на захтев лица која су завршила обуку, а нису положила испит.</w:t>
      </w:r>
    </w:p>
    <w:p w:rsidR="00110C93" w:rsidRDefault="007E50E0">
      <w:pPr>
        <w:spacing w:after="150"/>
      </w:pPr>
      <w:r>
        <w:rPr>
          <w:color w:val="000000"/>
        </w:rPr>
        <w:t>Уз захтев за полагање испита доставља се потврда о плаћеној накнади за полагање испита, у складу са општим актом Привредне коморе.</w:t>
      </w:r>
    </w:p>
    <w:p w:rsidR="00110C93" w:rsidRDefault="007E50E0">
      <w:pPr>
        <w:spacing w:after="150"/>
      </w:pPr>
      <w:r>
        <w:rPr>
          <w:color w:val="000000"/>
        </w:rPr>
        <w:t>Материјали за припрему испита за лиценцу доступни су на интернет страници Привредне коморе.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Комисија за полагање испита за лиценцу инструктора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7.</w:t>
      </w:r>
    </w:p>
    <w:p w:rsidR="00110C93" w:rsidRDefault="007E50E0">
      <w:pPr>
        <w:spacing w:after="150"/>
      </w:pPr>
      <w:r>
        <w:rPr>
          <w:color w:val="000000"/>
        </w:rPr>
        <w:t>Испит за лиценцу инструктора полаже се пред Комисијом за полагање испита за инструктора (у даљем тексту: Комисија) коју образује Привредна комора.</w:t>
      </w:r>
    </w:p>
    <w:p w:rsidR="00110C93" w:rsidRDefault="007E50E0">
      <w:pPr>
        <w:spacing w:after="150"/>
      </w:pPr>
      <w:r>
        <w:rPr>
          <w:color w:val="000000"/>
        </w:rPr>
        <w:t>Комисија се образује за реализацију сваког испита и има најмање три члана, и то:</w:t>
      </w:r>
    </w:p>
    <w:p w:rsidR="00110C93" w:rsidRDefault="007E50E0">
      <w:pPr>
        <w:spacing w:after="150"/>
      </w:pPr>
      <w:r>
        <w:rPr>
          <w:color w:val="000000"/>
        </w:rPr>
        <w:t>1) најмање једног члана стручњака за област рада, којег из реда својих чланова предлаже Привредна комора, који има најмање пет година радног искуства у струци;</w:t>
      </w:r>
    </w:p>
    <w:p w:rsidR="00110C93" w:rsidRDefault="007E50E0">
      <w:pPr>
        <w:spacing w:after="150"/>
      </w:pPr>
      <w:r>
        <w:rPr>
          <w:color w:val="000000"/>
        </w:rPr>
        <w:t>2) најмање једног члана на предлог министарства надлежног за образовање (у даљем тексту: Министарство) из реда просветних саветника запослених у Министарству или спољних сарадника;</w:t>
      </w:r>
    </w:p>
    <w:p w:rsidR="00110C93" w:rsidRDefault="007E50E0">
      <w:pPr>
        <w:spacing w:after="150"/>
      </w:pPr>
      <w:r>
        <w:rPr>
          <w:color w:val="000000"/>
        </w:rPr>
        <w:t>3) најмање једног члана на предлог Завода за унапређивање образовања и васпитања (у даљем тексту: Завод) из реда саветника-координатора запослених у Заводу, који су стручњаци за подручје рада, а који имају најмање пет године радног искуства у струци.</w:t>
      </w:r>
    </w:p>
    <w:p w:rsidR="00110C93" w:rsidRDefault="007E50E0">
      <w:pPr>
        <w:spacing w:after="150"/>
      </w:pPr>
      <w:r>
        <w:rPr>
          <w:color w:val="000000"/>
        </w:rPr>
        <w:t>Привредна комора, Министарство и Завод предлажу најмање по три лица у складу са ставом 2. овог члана за листу са које се именују чланови Комисије.</w:t>
      </w:r>
    </w:p>
    <w:p w:rsidR="00110C93" w:rsidRDefault="007E50E0">
      <w:pPr>
        <w:spacing w:after="150"/>
      </w:pPr>
      <w:r>
        <w:rPr>
          <w:color w:val="000000"/>
        </w:rPr>
        <w:t>Решењем о именовању Комисије, из реда чланова именује се председник Комисије као и секретар Комисије из реда запослених у Привредној комори.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Садржај испита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8.</w:t>
      </w:r>
    </w:p>
    <w:p w:rsidR="00110C93" w:rsidRDefault="007E50E0">
      <w:pPr>
        <w:spacing w:after="150"/>
      </w:pPr>
      <w:r>
        <w:rPr>
          <w:color w:val="000000"/>
        </w:rPr>
        <w:t>Испит се, по правилу реализује у једном дану и састоји се из писаног и усменог дела.</w:t>
      </w:r>
    </w:p>
    <w:p w:rsidR="00110C93" w:rsidRDefault="007E50E0">
      <w:pPr>
        <w:spacing w:after="150"/>
      </w:pPr>
      <w:r>
        <w:rPr>
          <w:color w:val="000000"/>
        </w:rPr>
        <w:lastRenderedPageBreak/>
        <w:t>Кандидат полаже прво писани део испита, који представља тест објективног типа за проверу достигнутости исхода знања свих области утврђених програмом обуке.</w:t>
      </w:r>
    </w:p>
    <w:p w:rsidR="00110C93" w:rsidRDefault="007E50E0">
      <w:pPr>
        <w:spacing w:after="150"/>
      </w:pPr>
      <w:r>
        <w:rPr>
          <w:color w:val="000000"/>
        </w:rPr>
        <w:t>Писани део испита траје 60–90 минута и реализује се у групи.</w:t>
      </w:r>
    </w:p>
    <w:p w:rsidR="00110C93" w:rsidRDefault="007E50E0">
      <w:pPr>
        <w:spacing w:after="150"/>
      </w:pPr>
      <w:r>
        <w:rPr>
          <w:color w:val="000000"/>
        </w:rPr>
        <w:t>Усмени део испита полаже се након писаног дела и реализује се решавањем ситуација из праксе за проверу примене знања и вештина у учењу кроз рад.</w:t>
      </w:r>
    </w:p>
    <w:p w:rsidR="00110C93" w:rsidRDefault="007E50E0">
      <w:pPr>
        <w:spacing w:after="150"/>
      </w:pPr>
      <w:r>
        <w:rPr>
          <w:color w:val="000000"/>
        </w:rPr>
        <w:t>Усмени део испита траје 20–30 минута и реализује се индивидуално.</w:t>
      </w:r>
    </w:p>
    <w:p w:rsidR="00110C93" w:rsidRDefault="007E50E0">
      <w:pPr>
        <w:spacing w:after="150"/>
      </w:pPr>
      <w:r>
        <w:rPr>
          <w:color w:val="000000"/>
        </w:rPr>
        <w:t>Испиту, поред кандидата могу да присуствују тренери, чланови и секретар Комисије.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Оцењивање на испиту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9.</w:t>
      </w:r>
    </w:p>
    <w:p w:rsidR="00110C93" w:rsidRDefault="007E50E0">
      <w:pPr>
        <w:spacing w:after="150"/>
      </w:pPr>
      <w:r>
        <w:rPr>
          <w:color w:val="000000"/>
        </w:rPr>
        <w:t>Комисија прегледа писани део испита према унапред припремљеном кључу.</w:t>
      </w:r>
    </w:p>
    <w:p w:rsidR="00110C93" w:rsidRDefault="007E50E0">
      <w:pPr>
        <w:spacing w:after="150"/>
      </w:pPr>
      <w:r>
        <w:rPr>
          <w:color w:val="000000"/>
        </w:rPr>
        <w:t>На основу резултата писаног и усменог дела утврђује се успех кандидата на испиту.</w:t>
      </w:r>
    </w:p>
    <w:p w:rsidR="00110C93" w:rsidRDefault="007E50E0">
      <w:pPr>
        <w:spacing w:after="150"/>
      </w:pPr>
      <w:r>
        <w:rPr>
          <w:color w:val="000000"/>
        </w:rPr>
        <w:t>Успех на испиту исказује се једном описном оценом: „положио” или „није положио”.</w:t>
      </w:r>
    </w:p>
    <w:p w:rsidR="00110C93" w:rsidRDefault="007E50E0">
      <w:pPr>
        <w:spacing w:after="150"/>
      </w:pPr>
      <w:r>
        <w:rPr>
          <w:color w:val="000000"/>
        </w:rPr>
        <w:t>Кандидат је положио испит уколико је из оба дела испита оцењен са „положио”.</w:t>
      </w:r>
    </w:p>
    <w:p w:rsidR="00110C93" w:rsidRDefault="007E50E0">
      <w:pPr>
        <w:spacing w:after="150"/>
      </w:pPr>
      <w:r>
        <w:rPr>
          <w:color w:val="000000"/>
        </w:rPr>
        <w:t>Кандидат је положио писани део испита ако има најмање 60% од укупно могућег броја бодова.</w:t>
      </w:r>
    </w:p>
    <w:p w:rsidR="00110C93" w:rsidRDefault="007E50E0">
      <w:pPr>
        <w:spacing w:after="150"/>
      </w:pPr>
      <w:r>
        <w:rPr>
          <w:color w:val="000000"/>
        </w:rPr>
        <w:t>Кандидат који положи само један део испита, има право на полагање другог дела испита у следећем испитном року.</w:t>
      </w:r>
    </w:p>
    <w:p w:rsidR="00110C93" w:rsidRDefault="007E50E0">
      <w:pPr>
        <w:spacing w:after="150"/>
      </w:pPr>
      <w:r>
        <w:rPr>
          <w:color w:val="000000"/>
        </w:rPr>
        <w:t>Кандидат који не положи и писани и усмени део испита сматра се да није положио испит у целини.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Записник о полагању испита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10.</w:t>
      </w:r>
    </w:p>
    <w:p w:rsidR="00110C93" w:rsidRDefault="007E50E0">
      <w:pPr>
        <w:spacing w:after="150"/>
      </w:pPr>
      <w:r>
        <w:rPr>
          <w:color w:val="000000"/>
        </w:rPr>
        <w:t>Записник о полагању испита води секретар Комисије.</w:t>
      </w:r>
    </w:p>
    <w:p w:rsidR="00110C93" w:rsidRDefault="007E50E0">
      <w:pPr>
        <w:spacing w:after="150"/>
      </w:pPr>
      <w:r>
        <w:rPr>
          <w:color w:val="000000"/>
        </w:rPr>
        <w:t>Записник садржи: податке о председнику и члановима Комисије, кандидату, број и датум обавештења о одобреном полагању, место, дан и час полагања испита, задатке са испита, општи успех на испиту, податке о одустајању од полагања и друге податке од значаја за полагање испита.</w:t>
      </w:r>
    </w:p>
    <w:p w:rsidR="00110C93" w:rsidRDefault="007E50E0">
      <w:pPr>
        <w:spacing w:after="150"/>
      </w:pPr>
      <w:r>
        <w:rPr>
          <w:color w:val="000000"/>
        </w:rPr>
        <w:t>Записник потписују председник, чланови и секретар Комисије.</w:t>
      </w:r>
    </w:p>
    <w:p w:rsidR="00110C93" w:rsidRDefault="007E50E0">
      <w:pPr>
        <w:spacing w:after="150"/>
      </w:pPr>
      <w:r>
        <w:rPr>
          <w:color w:val="000000"/>
        </w:rPr>
        <w:t>Саставни део записника су тестови којима је обављен писани део испита.</w:t>
      </w:r>
    </w:p>
    <w:p w:rsidR="00110C93" w:rsidRDefault="007E50E0">
      <w:pPr>
        <w:spacing w:after="150"/>
      </w:pPr>
      <w:r>
        <w:rPr>
          <w:color w:val="000000"/>
        </w:rPr>
        <w:t>Привредна комора чува записнике и води евиденцију о спроведеним испитима.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lastRenderedPageBreak/>
        <w:t>Одлагање испита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11.</w:t>
      </w:r>
    </w:p>
    <w:p w:rsidR="00110C93" w:rsidRDefault="007E50E0">
      <w:pPr>
        <w:spacing w:after="150"/>
      </w:pPr>
      <w:r>
        <w:rPr>
          <w:color w:val="000000"/>
        </w:rPr>
        <w:t>Уколико је кандидат из оправданих разлога спречен да приступи полагању испита, дужан је да секретару Комисије и свом послодавцу достави одговарајуће доказе.</w:t>
      </w:r>
    </w:p>
    <w:p w:rsidR="00110C93" w:rsidRDefault="007E50E0">
      <w:pPr>
        <w:spacing w:after="150"/>
      </w:pPr>
      <w:r>
        <w:rPr>
          <w:color w:val="000000"/>
        </w:rPr>
        <w:t>Кандидат из става 1. овог члана има право полагања испита у наредном испитном року без плаћања надокнаде за полагање испита.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Обавештавање о успеху на испиту и издавање лиценце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12.</w:t>
      </w:r>
    </w:p>
    <w:p w:rsidR="00110C93" w:rsidRDefault="007E50E0">
      <w:pPr>
        <w:spacing w:after="150"/>
      </w:pPr>
      <w:r>
        <w:rPr>
          <w:color w:val="000000"/>
        </w:rPr>
        <w:t>Секретар Комисије у року од осам дана од дана спровођења испита обавештава кандидата преко његовог послодавца о постигнутом успеху на испиту.</w:t>
      </w:r>
    </w:p>
    <w:p w:rsidR="00110C93" w:rsidRDefault="007E50E0">
      <w:pPr>
        <w:spacing w:after="150"/>
      </w:pPr>
      <w:r>
        <w:rPr>
          <w:color w:val="000000"/>
        </w:rPr>
        <w:t>Кандидатима који нису положили писани део испита доставља се копија записника са испита.</w:t>
      </w:r>
    </w:p>
    <w:p w:rsidR="00110C93" w:rsidRDefault="007E50E0">
      <w:pPr>
        <w:spacing w:after="150"/>
      </w:pPr>
      <w:r>
        <w:rPr>
          <w:color w:val="000000"/>
        </w:rPr>
        <w:t>Кандидату који је положио испит за лиценцу Привредна комора издаје лиценцу за инструктора.</w:t>
      </w:r>
    </w:p>
    <w:p w:rsidR="00110C93" w:rsidRDefault="007E50E0">
      <w:pPr>
        <w:spacing w:after="150"/>
      </w:pPr>
      <w:r>
        <w:rPr>
          <w:color w:val="000000"/>
        </w:rPr>
        <w:t>Податке о издатој лиценци за инструктора Привредна комора уписује у Регистар издатих лиценци, у складу са Законом.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110C93" w:rsidRDefault="007E50E0">
      <w:pPr>
        <w:spacing w:after="120"/>
        <w:jc w:val="center"/>
      </w:pPr>
      <w:r>
        <w:rPr>
          <w:color w:val="000000"/>
        </w:rPr>
        <w:t>Члан 13.</w:t>
      </w:r>
    </w:p>
    <w:p w:rsidR="00110C93" w:rsidRDefault="007E50E0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110C93" w:rsidRDefault="007E50E0">
      <w:pPr>
        <w:spacing w:after="150"/>
        <w:jc w:val="right"/>
      </w:pPr>
      <w:r>
        <w:rPr>
          <w:color w:val="000000"/>
        </w:rPr>
        <w:t>Број 110-00-00636/2018-18</w:t>
      </w:r>
    </w:p>
    <w:p w:rsidR="00110C93" w:rsidRDefault="007E50E0">
      <w:pPr>
        <w:spacing w:after="150"/>
        <w:jc w:val="right"/>
      </w:pPr>
      <w:r>
        <w:rPr>
          <w:color w:val="000000"/>
        </w:rPr>
        <w:t>У Београду, 13. септембра 2018. године</w:t>
      </w:r>
    </w:p>
    <w:p w:rsidR="00110C93" w:rsidRDefault="007E50E0">
      <w:pPr>
        <w:spacing w:after="150"/>
        <w:jc w:val="right"/>
      </w:pPr>
      <w:r>
        <w:rPr>
          <w:color w:val="000000"/>
        </w:rPr>
        <w:t>Министар,</w:t>
      </w:r>
    </w:p>
    <w:p w:rsidR="00110C93" w:rsidRDefault="007E50E0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p w:rsidR="00110C93" w:rsidRDefault="007E50E0">
      <w:pPr>
        <w:spacing w:after="120"/>
        <w:jc w:val="right"/>
      </w:pPr>
      <w:r>
        <w:rPr>
          <w:color w:val="000000"/>
        </w:rPr>
        <w:t>Прилог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Програм обуке инструктора</w:t>
      </w:r>
    </w:p>
    <w:p w:rsidR="00110C93" w:rsidRDefault="007E50E0">
      <w:pPr>
        <w:spacing w:after="150"/>
      </w:pPr>
      <w:r>
        <w:rPr>
          <w:b/>
          <w:color w:val="000000"/>
        </w:rPr>
        <w:t>Циљ обуке</w:t>
      </w:r>
      <w:r>
        <w:rPr>
          <w:color w:val="000000"/>
        </w:rPr>
        <w:t xml:space="preserve"> је развој компетенција инструктора за реализацију учења кроз рад.</w:t>
      </w:r>
    </w:p>
    <w:p w:rsidR="00110C93" w:rsidRDefault="007E50E0">
      <w:pPr>
        <w:spacing w:after="150"/>
      </w:pPr>
      <w:r>
        <w:rPr>
          <w:color w:val="000000"/>
        </w:rPr>
        <w:t>Програм саджи пет области:</w:t>
      </w:r>
    </w:p>
    <w:p w:rsidR="00110C93" w:rsidRDefault="007E50E0">
      <w:pPr>
        <w:spacing w:after="150"/>
      </w:pPr>
      <w:r>
        <w:rPr>
          <w:b/>
          <w:color w:val="000000"/>
        </w:rPr>
        <w:t>Примена законодавног оквира у учењу кроз рад</w:t>
      </w:r>
    </w:p>
    <w:p w:rsidR="00110C93" w:rsidRDefault="007E50E0">
      <w:pPr>
        <w:spacing w:after="150"/>
      </w:pPr>
      <w:r>
        <w:rPr>
          <w:b/>
          <w:color w:val="000000"/>
        </w:rPr>
        <w:t>Планирање и припрема учења кроз рад</w:t>
      </w:r>
    </w:p>
    <w:p w:rsidR="00110C93" w:rsidRDefault="007E50E0">
      <w:pPr>
        <w:spacing w:after="150"/>
      </w:pPr>
      <w:r>
        <w:rPr>
          <w:b/>
          <w:color w:val="000000"/>
        </w:rPr>
        <w:t>Реализација учења кроз рад</w:t>
      </w:r>
    </w:p>
    <w:p w:rsidR="00110C93" w:rsidRDefault="007E50E0">
      <w:pPr>
        <w:spacing w:after="150"/>
      </w:pPr>
      <w:r>
        <w:rPr>
          <w:b/>
          <w:color w:val="000000"/>
        </w:rPr>
        <w:lastRenderedPageBreak/>
        <w:t>Праћење и вредновање компетенција у учењу кроз рад</w:t>
      </w:r>
    </w:p>
    <w:p w:rsidR="00110C93" w:rsidRDefault="007E50E0">
      <w:pPr>
        <w:spacing w:after="150"/>
      </w:pPr>
      <w:r>
        <w:rPr>
          <w:b/>
          <w:color w:val="000000"/>
        </w:rPr>
        <w:t>Подршка развоју ученика у учењу кроз рад</w:t>
      </w:r>
    </w:p>
    <w:p w:rsidR="00110C93" w:rsidRDefault="007E50E0">
      <w:pPr>
        <w:spacing w:after="150"/>
      </w:pPr>
      <w:r>
        <w:rPr>
          <w:color w:val="000000"/>
        </w:rPr>
        <w:t xml:space="preserve">Програмом обуке се детаљно описују </w:t>
      </w:r>
      <w:r>
        <w:rPr>
          <w:b/>
          <w:color w:val="000000"/>
        </w:rPr>
        <w:t>компетенције</w:t>
      </w:r>
      <w:r>
        <w:rPr>
          <w:color w:val="000000"/>
        </w:rPr>
        <w:t xml:space="preserve">, очекивани </w:t>
      </w:r>
      <w:r>
        <w:rPr>
          <w:b/>
          <w:color w:val="000000"/>
        </w:rPr>
        <w:t>исходи знања, вештина и ставова</w:t>
      </w:r>
      <w:r>
        <w:rPr>
          <w:color w:val="000000"/>
        </w:rPr>
        <w:t xml:space="preserve"> и </w:t>
      </w:r>
      <w:r>
        <w:rPr>
          <w:b/>
          <w:color w:val="000000"/>
        </w:rPr>
        <w:t>препоручени садржаји</w:t>
      </w:r>
      <w:r>
        <w:rPr>
          <w:color w:val="000000"/>
        </w:rPr>
        <w:t>.</w:t>
      </w:r>
    </w:p>
    <w:p w:rsidR="00110C93" w:rsidRDefault="007E50E0">
      <w:pPr>
        <w:spacing w:after="120"/>
        <w:jc w:val="center"/>
      </w:pPr>
      <w:r>
        <w:rPr>
          <w:b/>
          <w:color w:val="000000"/>
        </w:rPr>
        <w:t>Област 1: Примена законодавног оквира у учењу кроз рад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59"/>
        <w:gridCol w:w="2714"/>
        <w:gridCol w:w="3819"/>
      </w:tblGrid>
      <w:tr w:rsidR="00110C9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Након савладане обуке инструктор ће бити у стању да: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Компетенције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Исходи (знања, вештине и ставови)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Препоручени садржаји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t>1.1 Разуме регулаторни оквир за спровођење учења кроз рад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представи карактеристике дуалног образовања и његово место у систему стручног образовања;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опише структуру, функције и циљеве прописа у вези са учењем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наведе последице неиспуњења прописаних захтева који се односе на послодавца и инструктора;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препозна институције које пружају подршку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учествује у припреми неопходних услова за укључивање послодавца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разуме права, обавезе и одговорности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поштује прописе у свакодневном раду са ученицима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препознаје случајеве повреде правила понашања и неиспуњавања обавеза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ризике радних места и мере безбедности и здравља на раду;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брине о безбедности и здрављу ученика у учењу кроз рад;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Општи принципи, циљеви и исходи образовања и васпитања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Циљеви и општи исходи средњег образовања и васпитања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Међупредметне компетенције за крај средњег образовања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Кључне компетенције за целоживотно учење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Права детета и ученика, обавезе и одговорности ученика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Васпитне и васпитно дисциплинске мере и правна заштита ученика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Практична настава и професионална пракса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Значење појмова (дуално образовање, послодавац, учење кроз рад, инструктор, координатор учења кроз рад, план реализације учења кроз рад)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Принципи и циљеви дуалног образовања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Обим, период и место реализације учења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Услови за извођење учења кроз рад код послодавца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Регулисање односа и одговорности ученика, школе и послодавца у учењу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Заштита права ученика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Материјално и финансијско обезбеђење ученика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Заштита и безбедност ученика у установи и забрана насиља и злостављања, дискриминације и занемаривања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Прописи безбедности и здравља на раду и превентивне мере за безбедан и здрав рад младих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Опасан рад за децу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1.2 Представи стандард квалификације и програмски оквир учења кроз рад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опише важност одређених занимања и потребе послодавца у контексту развоја кадрова;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разуме систем квалификација и начин развоја програма у стручном образовању;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разликује елементе стандарда квалификације;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значај и улогу стандарда квалификације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 xml:space="preserve">– опише структуру програма наставе и </w:t>
            </w:r>
            <w:r>
              <w:rPr>
                <w:color w:val="000000"/>
              </w:rPr>
              <w:lastRenderedPageBreak/>
              <w:t>учења и садржај програма предмета у оквиру којег (их) се реализује учење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опише програм и услове за реализацију завршног и практичног дела матурског испита;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уважава садржај програма и стандарда квалификације и поступа у складу са тим оквиром;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Стандард квалификације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Циљеви и исходи учења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Програм наставе и учења – структура и функција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Национални оквир квалификација у републици Србији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Праћење и оцењивање ученика, испити у стручном образовању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Циљ, структура, критеријуми оцењивања и радни задаци на завршном/матурском испиту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1.3 Обавља улогу инструктора на прописан начин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опише улоге и одговорности инструктора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идентификује сопствене компетенције и препозна мотиве за обављање улоге инструктора;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представи сопствене задатке и обавезе у реализацији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препознају јаке и слабе стране код себе и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промовише позитивне моделе понашања у професионалном контексту;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уважава права и потребе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решава конкретне ситуације и адаптира услове за ефикасно спровођење учења;</w:t>
            </w:r>
          </w:p>
        </w:tc>
        <w:tc>
          <w:tcPr>
            <w:tcW w:w="5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правна основа, захтеви у вези са улогама и одговорностима инструктора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Компетенције, обука и лиценца инструктора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Знања, вештине и ставови за област рада инструктора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Природа и карактеристике унутрашње и спољашње мотивације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Инструктор као модел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Савремени концепти/идеје менторског/инструкторског рада</w:t>
            </w:r>
          </w:p>
        </w:tc>
      </w:tr>
    </w:tbl>
    <w:p w:rsidR="00110C93" w:rsidRDefault="007E50E0">
      <w:pPr>
        <w:spacing w:after="150"/>
      </w:pPr>
      <w:r>
        <w:rPr>
          <w:b/>
          <w:color w:val="000000"/>
        </w:rPr>
        <w:lastRenderedPageBreak/>
        <w:t>Област 2: Планирање и припрема учења кроз рад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46"/>
        <w:gridCol w:w="3042"/>
        <w:gridCol w:w="3504"/>
      </w:tblGrid>
      <w:tr w:rsidR="00110C9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Након савладане обуке инструктор ће бити у стању да: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Компетенције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Исходи (знања, вештине и ставови)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Препоручени садржаји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t>2.1 Обезбеђује неопходне услове за реализацију учења кроз рад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важност организације окружења за учење (место, време, ресурси);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процени услове за учење кроз рад код послодавца;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изради план реализације учења кроз рад у сарадњи са координатором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осигурава услове (техничке и безбедносне) за учење на различитим радним местима;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повезује кључне актере у реализацији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руководи се исходима учења приликом планирања и реализације учења кроз рад уважавајући могућности и захтеве радног процеса;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Предуслови за реализацију учења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Организација – клима, вредности и култура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Мере безбедности и здравља на раду код послодавца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Стандард квалификације – полазна основа за планирање учења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Планирање оријентисано на исходе учења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План реализације учења кроз рад – структура, нивои, динамика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Принципи и правила тимског рада и сарадње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Мрежа главних актера који сарађују у реализацији учења кроз рад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2.2 Организује увођење ученика у учење кроз рад</w:t>
            </w:r>
          </w:p>
        </w:tc>
        <w:tc>
          <w:tcPr>
            <w:tcW w:w="4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значај, сврху и елементе добро организованог увођења ученика у учење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информише ученике и родитеље о интерним правилима и примени мера безбедности и здравља на раду;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изради план увођења ученика у учење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прати адаптацију ученика на организацију и процес рада и превенира рано одустајање;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успостави сарадњу са колегама у предузећу и координира њихово укључивање у реализацију учења кроз рад;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Окружење за учење – подршка развоју културе учења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Организација – интерна правила и могућности за задовољење различтих потреба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План увођења ученика у реализацију учења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Координирање учења на радним местима: садржаји и исходи (подручја учења и подручја деловања) и облици сарадње на местима за учење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Фактори који утичу на успешну адаптацију ученика: изазовни задаци, разноврсне активности, социјализација</w:t>
            </w:r>
          </w:p>
        </w:tc>
      </w:tr>
    </w:tbl>
    <w:p w:rsidR="00110C93" w:rsidRDefault="007E50E0">
      <w:pPr>
        <w:spacing w:after="150"/>
      </w:pPr>
      <w:r>
        <w:rPr>
          <w:b/>
          <w:color w:val="000000"/>
        </w:rPr>
        <w:t>Област 3: Реализација учења кроз рад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90"/>
        <w:gridCol w:w="3621"/>
        <w:gridCol w:w="2881"/>
      </w:tblGrid>
      <w:tr w:rsidR="00110C9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Након савладане обуке инструктор ће бити у стању да: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Компетенције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Исходи (знања, вештине и ставови)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Препоручени садржаји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t>3.1 Креира ситуације учења на основу плана реализације учења кроз рад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опише различите методе учења кроз рад и њихову примену и сврсисходност за достизање различитих исхода учења;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планира и прилагођава методе захтевима плана реализације учења и условима у компанији;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 xml:space="preserve">– бира методе, задатке и средства према знањима, искуствима и специфичним </w:t>
            </w:r>
            <w:r>
              <w:rPr>
                <w:color w:val="000000"/>
              </w:rPr>
              <w:lastRenderedPageBreak/>
              <w:t>карактеристикама ученика (групе) и примењују их у конкретним ситуацијама;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активно укључује ученике комбинујући методе учења и рада;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подржава иницијативу ученика, предузетничке компетенције и препознајеталенте у контексту подручја рада;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подстиче развој кључних компетенција у процесу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упућује ученике на придржавање мера безбедности и здравља на раду;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Учење – карактеристике, врсте, фактори...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Дидактички принципи: повезивање учења и рада, теорије и праксе...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 xml:space="preserve">– Учење у реалним условима, предности </w:t>
            </w:r>
            <w:r>
              <w:rPr>
                <w:color w:val="000000"/>
              </w:rPr>
              <w:lastRenderedPageBreak/>
              <w:t>учења на радном месту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Теорије учења – искуствено учење...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Методе учења – врсте и примена у учењу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Учење оријентисано на радни задатак – самостално планирање, извођење и процена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Кључне компетенције – вештине решавања проблема у различитим ситуацијама – проблемски приступ учењу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3.2 Води ученика ка самосталном извођењу радних задатака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разуме концепт самосталности и одговорности ученика у свим фазама учења кроз рад:планирање, извршење, контрола, документовање и самопроцена;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додељује радне задатке у складу са нивоом развоја компетенција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подстиче ученике на рефлексију о сопственом раду;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обезбеђује довољно прилика за учење и увежбавање у функцији осамостаљивања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води разговоре подршке и евалуациони разговор са учеником;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примењује мере које јачају самоувереност ученика као будућих професионалаца;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подржи и оснажи ученика за реализацију завршног/матурског испита;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Концепт развоја компетенција – од почетника до самосталног извршиоца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Учење на грешкама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Самовредновање у функцији даљег учења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Улога инструктора у вођењу ученика ка самосталном извођењу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Награда, похвала у функцији успешног учења и напредовања</w:t>
            </w:r>
          </w:p>
        </w:tc>
      </w:tr>
    </w:tbl>
    <w:p w:rsidR="00110C93" w:rsidRDefault="007E50E0">
      <w:pPr>
        <w:spacing w:after="150"/>
      </w:pPr>
      <w:r>
        <w:rPr>
          <w:b/>
          <w:color w:val="000000"/>
        </w:rPr>
        <w:lastRenderedPageBreak/>
        <w:t>Област 4: Праћење и вредновање компетенција у учењу кроз рад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36"/>
        <w:gridCol w:w="2991"/>
        <w:gridCol w:w="3165"/>
      </w:tblGrid>
      <w:tr w:rsidR="00110C9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Након савладане обуке инструктор ће бити у стању да: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Компетенције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Исходи (знања, вештине и ставови)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Препоручени садржаји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t>4.1 Примењује различите методе, технике и инструменте за праћење и процену компетенција у учењу кроз рад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значај континуираног праћења процеса напредовања и постигнућа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утврди различите методе оцењивања и њихову примену у праћењу знања, вештина, ставова односно компетнција које се стичу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примењује принципе оцењивања у складу са прописима;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израђује инструменте за праћење и процену и на основу њих и критеријума даје структурисану повратну информацију ученику;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наведе врсте документације за праћење и вредновање;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 xml:space="preserve">– води евиденцију о постигнућима и </w:t>
            </w:r>
            <w:r>
              <w:rPr>
                <w:color w:val="000000"/>
              </w:rPr>
              <w:lastRenderedPageBreak/>
              <w:t>редовности сваког ученика и о томе извештава координатора учења кроз рад и родитеље;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учествује у (пр)оцени компетенција према стандарду квалификације у сарадњи са координатором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учествује у изради описа индивидуалних постигниућа у додатку дипломи;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Правилник о оцењивању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Праћење и процена саставни део учења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Принципи оцењивања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Врсте оцењивања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Критеријуми оцењивања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Инструменти за праћење и процену – основни принципи за развој и прилгођавање инструмената (протоколи, чек-листе...)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Оцењивање компетенција – методе и технике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Приговори на оцењивање, оцену и спит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Документација за праћење и вредновање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4.2 Користи податке из праћења за унапређивање компетенција ученика и квалитета учења кроз рад</w:t>
            </w:r>
          </w:p>
        </w:tc>
        <w:tc>
          <w:tcPr>
            <w:tcW w:w="5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анализира постигнућа сваког ученика и адаптира методе учења и процене у циљу постизања напретка у учењу;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укључује ученике у процену постигнућа (сампороцена) и процену квалитета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препознаје могућности за побољшање сопствених постигнућа у учењу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уочава области у којима има потребе за унапређивањем учења код послодавца;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прати задовољство ученика реализацијом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процењује успешност реализације учења кроз рад у односу на план реализације;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Вредновање и самовредновање;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Извештаји о реалиазцији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Технике за процену задовољства реализацијом учења кроз рад – анкете, интервјуи, скале процене...</w:t>
            </w:r>
          </w:p>
        </w:tc>
      </w:tr>
    </w:tbl>
    <w:p w:rsidR="00110C93" w:rsidRDefault="007E50E0">
      <w:pPr>
        <w:spacing w:after="150"/>
      </w:pPr>
      <w:r>
        <w:rPr>
          <w:b/>
          <w:color w:val="000000"/>
        </w:rPr>
        <w:lastRenderedPageBreak/>
        <w:t>Област 5: Подршка развоју ученика у учењу кроз рад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72"/>
        <w:gridCol w:w="3290"/>
        <w:gridCol w:w="2930"/>
      </w:tblGrid>
      <w:tr w:rsidR="00110C93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Након савладане обуке инструктор ће бити у стању да: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Компетенције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Исходи (знања, вештине и ставови)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Препоручени садржаји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t>5.1 Сагледа и уважи развојне и индивидуалне карактеристике ученика у учењу кроз рад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основне физичке, когнитивне, емоционалне и социјалне промене у адолесценцији;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примењује различите облике рада и активности поштујући културолошке, социо-економске, физичке, психолошке и друге разлике међу ученицима;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препозна промене у понашању и потешкоће у учењу;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сагледа потенцијалне узроке који доводе до промена у понашању и потешкоћа у учењу;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покаже осетљивост за проблеме ученика који настају у адолесценцији;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познаје факторе ризика за напуштање образовања;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примењују стратегије за благовремено реаговање и превазилажење проблема у понашању и учењу;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 xml:space="preserve">– пружа подршку ученику и са њим разматра </w:t>
            </w:r>
            <w:r>
              <w:rPr>
                <w:color w:val="000000"/>
              </w:rPr>
              <w:lastRenderedPageBreak/>
              <w:t>ефикасност примењених мера у превазилажењу проблема у понашању и учењу;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подстиче јачање самопоуздања ученика и самоефикасност;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Пубертет – адолесценција – карактеристике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Развојне промене и кризе у адолесценцији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Вршњачке групе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Промене у понашању у адолесценцији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Фактори социјализације:родне улоге, вршњачке групе, одвајање од родитељске куће, соц-културолошки контекст, замор од школе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Проблеми у понашању: страх, агресија, зависности;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Мере подршке ученицима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Инклузивно образовање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Индивидуални образовни план и додатна подршка у образовању и васпитању;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Осипање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Мотивација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Принципиквалитетног образовања за све, једнакоправности и инклузије, поштуовање различитости (пол, СЕС, религија, расу, инвалидитет)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5.2 Изгради и одржава комуникацују и сарадњу са учеником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објасни карактерсистике, врсте и нивое комуникације;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разликује врсте баријера/ потешкоћа у комуникацији;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примени технике успешне комуникације – активно слушање, асертивност, усклађеност вербалне и невербалне комуникације;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даје појашњења кључних појмова, стручних термина и радних концепата у складу са искуством и предзнањем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препозна изазовне ситуације у раду са адолесцентима у циљу спречавања конфликата;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пружа повратну информацију ученику и проналази конструктивно решење за превенцију конфликта;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негује односе узајамног поверења, подршке и отвореног дијалога;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Вербална, невербална комуникација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Принципи ефикасне комуникације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Асертивност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Ја реченице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Решавање конфликта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Повратна информација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lastRenderedPageBreak/>
              <w:t>5.3 Пружа подршку ученицима у каријерном развоју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информише ученике о специфичностима зањимања, квалификацијама и могућностима професионалног напредовања;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наведе могућности професионалног развоја у предузећу и подстиче ученике да размишљају о свом каријерном развоју;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подржава посебна постигнућа и успехе ученика и њихово документовање у каријерном портфолију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укључује ученике у активности и задатке којима се подстиче развој вештина за запошљавање;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учествује у саветовању ученика у погледу развоја вештина управљања каријером;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подстиче ученике да анализирају искуство учења кроз рад и користе повратне информације из радног окружења за даљи лични и професионални развој;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>– Целоживотно учење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Савремени концепт каријере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Стандарди услуга каријерног вођења и саветовања;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Активности КВиС:информисање, дан отворених врата, специјализовани сајмови, умрежавање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одзаконски акт о КВиС-у у дуалном</w:t>
            </w:r>
          </w:p>
        </w:tc>
      </w:tr>
      <w:tr w:rsidR="00110C93">
        <w:trPr>
          <w:trHeight w:val="45"/>
          <w:tblCellSpacing w:w="0" w:type="auto"/>
        </w:trPr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b/>
                <w:color w:val="000000"/>
              </w:rPr>
              <w:t>5.4 Сарадња са школом и заинтересованима за учење кроз рад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t xml:space="preserve">– разуме важност континуиране комуникације и сарадње са координатором учења кроз рад, родитељима/ старатељима/другим законским заступником) и </w:t>
            </w:r>
            <w:r>
              <w:rPr>
                <w:color w:val="000000"/>
              </w:rPr>
              <w:lastRenderedPageBreak/>
              <w:t>другим запосленима код послодавца;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повеже се и користи доступне ресурсе за подршку учењу кроз рад (школске, породичне, локална заједница, привредна комора);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континуирано размењује информације са координатором учења кроз рад у активностима планирања, реализације и оцењивања ученика;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користи документацију и извештава о реализацији учења кроз рад;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активно и конструктивноразмењује информације о ученику са тимом за каријерно вођење и саветовање;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благовремено информише координатора учења кроз рад и родитеље о проблемима у понашању и учењу и предузетим мерама;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Партнери у учењу кроз рад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Принципи ефикасне комуникације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Одговорности школе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lastRenderedPageBreak/>
              <w:t>– Одговорности послодавца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Уговори у дуалном образовању</w:t>
            </w:r>
          </w:p>
          <w:p w:rsidR="00110C93" w:rsidRDefault="007E50E0">
            <w:pPr>
              <w:spacing w:after="150"/>
            </w:pPr>
            <w:r>
              <w:rPr>
                <w:color w:val="000000"/>
              </w:rPr>
              <w:t>– Евиденције, извештавање и документацијау учењу кроз рад</w:t>
            </w:r>
          </w:p>
        </w:tc>
      </w:tr>
    </w:tbl>
    <w:p w:rsidR="004821A4" w:rsidRDefault="004821A4"/>
    <w:p w:rsidR="004821A4" w:rsidRDefault="004821A4">
      <w:bookmarkStart w:id="0" w:name="_GoBack"/>
      <w:bookmarkEnd w:id="0"/>
    </w:p>
    <w:p w:rsidR="00056796" w:rsidRDefault="00056796" w:rsidP="004821A4"/>
    <w:sectPr w:rsidR="000567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AB" w:rsidRDefault="002615AB" w:rsidP="00056796">
      <w:pPr>
        <w:spacing w:after="0" w:line="240" w:lineRule="auto"/>
      </w:pPr>
      <w:r>
        <w:separator/>
      </w:r>
    </w:p>
  </w:endnote>
  <w:endnote w:type="continuationSeparator" w:id="0">
    <w:p w:rsidR="002615AB" w:rsidRDefault="002615AB" w:rsidP="0005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AB" w:rsidRDefault="002615AB" w:rsidP="00056796">
      <w:pPr>
        <w:spacing w:after="0" w:line="240" w:lineRule="auto"/>
      </w:pPr>
      <w:r>
        <w:separator/>
      </w:r>
    </w:p>
  </w:footnote>
  <w:footnote w:type="continuationSeparator" w:id="0">
    <w:p w:rsidR="002615AB" w:rsidRDefault="002615AB" w:rsidP="0005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93"/>
    <w:rsid w:val="00023ED3"/>
    <w:rsid w:val="00056796"/>
    <w:rsid w:val="000D42E2"/>
    <w:rsid w:val="00110C93"/>
    <w:rsid w:val="00191025"/>
    <w:rsid w:val="002615AB"/>
    <w:rsid w:val="0028374E"/>
    <w:rsid w:val="00321A3E"/>
    <w:rsid w:val="004821A4"/>
    <w:rsid w:val="007E50E0"/>
    <w:rsid w:val="00AF4137"/>
    <w:rsid w:val="00B826AA"/>
    <w:rsid w:val="00E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96C3A-BEB2-4BD3-875D-590EA9CA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styleId="FollowedHyperlink">
    <w:name w:val="FollowedHyperlink"/>
    <w:basedOn w:val="DefaultParagraphFont"/>
    <w:uiPriority w:val="99"/>
    <w:semiHidden/>
    <w:unhideWhenUsed/>
    <w:rsid w:val="00AF413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5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96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Toshiba</cp:lastModifiedBy>
  <cp:revision>7</cp:revision>
  <dcterms:created xsi:type="dcterms:W3CDTF">2018-09-26T07:51:00Z</dcterms:created>
  <dcterms:modified xsi:type="dcterms:W3CDTF">2021-12-11T15:55:00Z</dcterms:modified>
</cp:coreProperties>
</file>