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AE" w:rsidRDefault="005926AC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5">
        <w:r>
          <w:rPr>
            <w:rStyle w:val="Hyperlink"/>
            <w:color w:val="337AB7"/>
          </w:rPr>
          <w:t>www.pravno-informacioni-sistem.rs</w:t>
        </w:r>
      </w:hyperlink>
    </w:p>
    <w:p w:rsidR="00D14DAE" w:rsidRDefault="005926AC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101/17),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14DAE" w:rsidRDefault="005926AC">
      <w:pPr>
        <w:spacing w:after="225"/>
        <w:jc w:val="center"/>
      </w:pPr>
      <w:r>
        <w:rPr>
          <w:b/>
          <w:color w:val="000000"/>
        </w:rPr>
        <w:t>ПРАВИЛНИК</w:t>
      </w:r>
    </w:p>
    <w:p w:rsidR="00D14DAE" w:rsidRDefault="005926AC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ближим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активностима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саставу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каријерно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вођење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саветовање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средњој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школи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</w:t>
      </w:r>
      <w:r w:rsidR="00A52756">
        <w:rPr>
          <w:b/>
          <w:color w:val="000000"/>
        </w:rPr>
        <w:t>зује</w:t>
      </w:r>
      <w:proofErr w:type="spellEnd"/>
      <w:r w:rsidR="00A52756">
        <w:rPr>
          <w:b/>
          <w:color w:val="000000"/>
        </w:rPr>
        <w:t xml:space="preserve"> </w:t>
      </w:r>
      <w:proofErr w:type="spellStart"/>
      <w:r w:rsidR="00A52756">
        <w:rPr>
          <w:b/>
          <w:color w:val="000000"/>
        </w:rPr>
        <w:t>образовне</w:t>
      </w:r>
      <w:proofErr w:type="spellEnd"/>
      <w:r w:rsidR="00A52756">
        <w:rPr>
          <w:b/>
          <w:color w:val="000000"/>
        </w:rPr>
        <w:t xml:space="preserve"> </w:t>
      </w:r>
      <w:proofErr w:type="spellStart"/>
      <w:r w:rsidR="00A52756">
        <w:rPr>
          <w:b/>
          <w:color w:val="000000"/>
        </w:rPr>
        <w:t>профиле</w:t>
      </w:r>
      <w:proofErr w:type="spellEnd"/>
      <w:r w:rsidR="00A52756">
        <w:rPr>
          <w:b/>
          <w:color w:val="000000"/>
        </w:rPr>
        <w:t xml:space="preserve"> у </w:t>
      </w:r>
      <w:proofErr w:type="spellStart"/>
      <w:r w:rsidR="00A52756">
        <w:rPr>
          <w:b/>
          <w:color w:val="000000"/>
        </w:rPr>
        <w:t>дуалном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образовању</w:t>
      </w:r>
      <w:proofErr w:type="spellEnd"/>
    </w:p>
    <w:p w:rsidR="00D14DAE" w:rsidRDefault="005926AC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2019.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средњој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Образовање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КВиС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струковних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наставници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Представнике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Представнике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омладинских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високошколских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квалификација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Стандарди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КВиС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>:</w:t>
      </w:r>
    </w:p>
    <w:p w:rsidR="00D14DAE" w:rsidRDefault="005926AC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учествује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организује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међупредметно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обавља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континуирано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мотивацију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оснажује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идентификовању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документовању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успеха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подстиче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процењује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вреднује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каријером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комором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високошколским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најбољем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интересу</w:t>
      </w:r>
      <w:proofErr w:type="spellEnd"/>
      <w:r>
        <w:rPr>
          <w:color w:val="000000"/>
        </w:rPr>
        <w:t>;</w:t>
      </w:r>
    </w:p>
    <w:p w:rsidR="00D14DAE" w:rsidRDefault="005926AC">
      <w:pPr>
        <w:spacing w:after="150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сарађује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орјентацију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могућностима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профилима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контексту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lastRenderedPageBreak/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Годишњи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КВиС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задатка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носиоце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сараднике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динамику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ресурсе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самовредновање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самовредновања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КВиС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састанке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полугодишта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чешће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сазива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председава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састанцима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одржаним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састанцима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састанцима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Координатор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компетенцијама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Састанцима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континуирано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заједничко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усаглашавање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саветодавне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активностима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каријерног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саветовања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lastRenderedPageBreak/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васпитање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прикупљању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портфолиа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каријерни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14DAE" w:rsidRDefault="005926AC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:rsidR="00D14DAE" w:rsidRDefault="005926A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D14DAE" w:rsidRDefault="005926AC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14DAE" w:rsidRDefault="005926AC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110-00-00744/2018-18</w:t>
      </w:r>
    </w:p>
    <w:p w:rsidR="00D14DAE" w:rsidRDefault="005926A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14DAE" w:rsidRDefault="005926AC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14DAE" w:rsidRDefault="005926AC">
      <w:pPr>
        <w:spacing w:after="150"/>
        <w:jc w:val="right"/>
        <w:rPr>
          <w:color w:val="000000"/>
        </w:rPr>
      </w:pPr>
      <w:proofErr w:type="spellStart"/>
      <w:r>
        <w:rPr>
          <w:b/>
          <w:color w:val="000000"/>
        </w:rPr>
        <w:t>Младен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Шарчевић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52756" w:rsidRDefault="00A52756" w:rsidP="00A52756">
      <w:pPr>
        <w:spacing w:after="150"/>
        <w:jc w:val="both"/>
      </w:pPr>
      <w:bookmarkStart w:id="0" w:name="_GoBack"/>
      <w:bookmarkEnd w:id="0"/>
    </w:p>
    <w:sectPr w:rsidR="00A527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AE"/>
    <w:rsid w:val="005926AC"/>
    <w:rsid w:val="008730DB"/>
    <w:rsid w:val="00A52756"/>
    <w:rsid w:val="00B646EE"/>
    <w:rsid w:val="00C8653D"/>
    <w:rsid w:val="00D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2193B-B879-4655-8D7C-5D2E3E0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4914-8492-4B78-8B10-DEBD95D7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Toshiba</cp:lastModifiedBy>
  <cp:revision>5</cp:revision>
  <dcterms:created xsi:type="dcterms:W3CDTF">2019-01-17T08:28:00Z</dcterms:created>
  <dcterms:modified xsi:type="dcterms:W3CDTF">2021-12-11T15:41:00Z</dcterms:modified>
</cp:coreProperties>
</file>